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50" w:rsidRPr="002F4184" w:rsidRDefault="002F4184" w:rsidP="00A2641F">
      <w:pPr>
        <w:spacing w:after="0" w:line="240" w:lineRule="auto"/>
        <w:jc w:val="center"/>
        <w:rPr>
          <w:rFonts w:ascii="Times New Roman" w:hAnsi="Times New Roman" w:cs="Times New Roman"/>
          <w:b/>
          <w:spacing w:val="-4"/>
          <w:sz w:val="28"/>
          <w:szCs w:val="32"/>
        </w:rPr>
      </w:pPr>
      <w:r w:rsidRPr="002F4184">
        <w:rPr>
          <w:rFonts w:ascii="Times New Roman" w:hAnsi="Times New Roman" w:cs="Times New Roman"/>
          <w:b/>
          <w:spacing w:val="-4"/>
          <w:sz w:val="28"/>
          <w:szCs w:val="32"/>
        </w:rPr>
        <w:t xml:space="preserve">PHÁT BIỂU CỦA </w:t>
      </w:r>
      <w:r w:rsidR="003E7602">
        <w:rPr>
          <w:rFonts w:ascii="Times New Roman" w:hAnsi="Times New Roman" w:cs="Times New Roman"/>
          <w:b/>
          <w:spacing w:val="-4"/>
          <w:sz w:val="28"/>
          <w:szCs w:val="32"/>
        </w:rPr>
        <w:t>THỐNG ĐỐC NGÂN HÀNG NHÀ NƯỚC</w:t>
      </w:r>
    </w:p>
    <w:p w:rsidR="00072050" w:rsidRPr="002F4184" w:rsidRDefault="002F4184" w:rsidP="00A2641F">
      <w:pPr>
        <w:spacing w:after="0" w:line="240" w:lineRule="auto"/>
        <w:jc w:val="center"/>
        <w:rPr>
          <w:rFonts w:cs="Times New Roman"/>
          <w:b/>
          <w:spacing w:val="-4"/>
          <w:sz w:val="24"/>
          <w:szCs w:val="24"/>
        </w:rPr>
      </w:pPr>
      <w:r w:rsidRPr="002F4184">
        <w:rPr>
          <w:rFonts w:ascii="Times New Roman" w:hAnsi="Times New Roman" w:cs="Times New Roman"/>
          <w:b/>
          <w:spacing w:val="-4"/>
          <w:sz w:val="24"/>
          <w:szCs w:val="24"/>
        </w:rPr>
        <w:t>TẠI HỘI NGHỊ THỦ TƯỚNG VỚI DOANH NGHIỆP 2017</w:t>
      </w:r>
    </w:p>
    <w:p w:rsidR="00072050" w:rsidRPr="00FE05CF" w:rsidRDefault="00045F3A" w:rsidP="00A2641F">
      <w:pPr>
        <w:spacing w:after="0" w:line="240" w:lineRule="auto"/>
        <w:jc w:val="center"/>
        <w:rPr>
          <w:rFonts w:ascii="Times New Roman" w:hAnsi="Times New Roman" w:cs="Times New Roman"/>
          <w:b/>
          <w:spacing w:val="-4"/>
          <w:sz w:val="28"/>
          <w:szCs w:val="24"/>
        </w:rPr>
      </w:pPr>
      <w:r w:rsidRPr="00D15959">
        <w:rPr>
          <w:rFonts w:ascii="Times New Roman" w:hAnsi="Times New Roman" w:cs="Times New Roman"/>
          <w:i/>
          <w:sz w:val="24"/>
          <w:szCs w:val="24"/>
        </w:rPr>
        <w:t xml:space="preserve"> </w:t>
      </w:r>
      <w:r w:rsidR="00D15959" w:rsidRPr="00FE05CF">
        <w:rPr>
          <w:rFonts w:ascii="Times New Roman" w:hAnsi="Times New Roman" w:cs="Times New Roman"/>
          <w:i/>
          <w:sz w:val="28"/>
          <w:szCs w:val="24"/>
        </w:rPr>
        <w:t>(</w:t>
      </w:r>
      <w:r w:rsidR="002F4184" w:rsidRPr="00FE05CF">
        <w:rPr>
          <w:rFonts w:ascii="Times New Roman" w:hAnsi="Times New Roman" w:cs="Times New Roman"/>
          <w:i/>
          <w:sz w:val="28"/>
          <w:szCs w:val="24"/>
        </w:rPr>
        <w:t>Hà Nội, ngày 17/5/2017</w:t>
      </w:r>
      <w:r w:rsidR="00D15959" w:rsidRPr="00FE05CF">
        <w:rPr>
          <w:rFonts w:ascii="Times New Roman" w:hAnsi="Times New Roman" w:cs="Times New Roman"/>
          <w:i/>
          <w:color w:val="000000"/>
          <w:sz w:val="28"/>
          <w:szCs w:val="24"/>
        </w:rPr>
        <w:t>)</w:t>
      </w:r>
    </w:p>
    <w:p w:rsidR="009E48E1" w:rsidRDefault="009E48E1" w:rsidP="00A2641F">
      <w:pPr>
        <w:spacing w:before="120" w:after="120" w:line="320" w:lineRule="atLeast"/>
        <w:jc w:val="center"/>
        <w:rPr>
          <w:rFonts w:ascii="Times New Roman Bold" w:hAnsi="Times New Roman Bold" w:cs="Times New Roman"/>
          <w:b/>
          <w:spacing w:val="-4"/>
          <w:sz w:val="24"/>
          <w:szCs w:val="24"/>
        </w:rPr>
      </w:pPr>
    </w:p>
    <w:p w:rsidR="00545DE9" w:rsidRPr="00545DE9" w:rsidRDefault="00545DE9" w:rsidP="0098596A">
      <w:pPr>
        <w:spacing w:before="60" w:after="60" w:line="300" w:lineRule="atLeast"/>
        <w:ind w:firstLine="720"/>
        <w:jc w:val="both"/>
        <w:rPr>
          <w:rFonts w:ascii="Times New Roman Bold" w:hAnsi="Times New Roman Bold" w:cs="Times New Roman"/>
          <w:b/>
          <w:spacing w:val="-4"/>
          <w:sz w:val="28"/>
          <w:szCs w:val="28"/>
        </w:rPr>
      </w:pPr>
      <w:r w:rsidRPr="00545DE9">
        <w:rPr>
          <w:rFonts w:ascii="Times New Roman Bold" w:hAnsi="Times New Roman Bold" w:cs="Times New Roman"/>
          <w:b/>
          <w:spacing w:val="-4"/>
          <w:sz w:val="28"/>
          <w:szCs w:val="28"/>
        </w:rPr>
        <w:t>Kính thưa Đồng chí Nguyễn Xuân Phúc, Ủy viên Bộ Chính trị, Thủ tướng Chính phủ nước CHXHCN Việt Nam!</w:t>
      </w:r>
    </w:p>
    <w:p w:rsidR="00E87F52" w:rsidRDefault="00545DE9" w:rsidP="0098596A">
      <w:pPr>
        <w:spacing w:before="60" w:after="60" w:line="300" w:lineRule="atLeast"/>
        <w:ind w:firstLine="720"/>
        <w:jc w:val="both"/>
        <w:rPr>
          <w:rFonts w:ascii="Times New Roman Bold" w:hAnsi="Times New Roman Bold" w:cs="Times New Roman"/>
          <w:b/>
          <w:spacing w:val="-4"/>
          <w:sz w:val="28"/>
          <w:szCs w:val="28"/>
        </w:rPr>
      </w:pPr>
      <w:r w:rsidRPr="00545DE9">
        <w:rPr>
          <w:rFonts w:ascii="Times New Roman Bold" w:hAnsi="Times New Roman Bold" w:cs="Times New Roman"/>
          <w:b/>
          <w:spacing w:val="-4"/>
          <w:sz w:val="28"/>
          <w:szCs w:val="28"/>
        </w:rPr>
        <w:t xml:space="preserve">Kính thưa </w:t>
      </w:r>
      <w:r w:rsidR="009370C0">
        <w:rPr>
          <w:rFonts w:ascii="Times New Roman Bold" w:hAnsi="Times New Roman Bold" w:cs="Times New Roman"/>
          <w:b/>
          <w:spacing w:val="-4"/>
          <w:sz w:val="28"/>
          <w:szCs w:val="28"/>
        </w:rPr>
        <w:t xml:space="preserve">các </w:t>
      </w:r>
      <w:r w:rsidRPr="00545DE9">
        <w:rPr>
          <w:rFonts w:ascii="Times New Roman Bold" w:hAnsi="Times New Roman Bold" w:cs="Times New Roman"/>
          <w:b/>
          <w:spacing w:val="-4"/>
          <w:sz w:val="28"/>
          <w:szCs w:val="28"/>
        </w:rPr>
        <w:t>đồng chí lãnh đạo</w:t>
      </w:r>
      <w:r w:rsidR="00E87F52">
        <w:rPr>
          <w:rFonts w:ascii="Times New Roman Bold" w:hAnsi="Times New Roman Bold" w:cs="Times New Roman"/>
          <w:b/>
          <w:spacing w:val="-4"/>
          <w:sz w:val="28"/>
          <w:szCs w:val="28"/>
        </w:rPr>
        <w:t xml:space="preserve"> Chính phủ, các Bộ, ngành, địa phương!</w:t>
      </w:r>
    </w:p>
    <w:p w:rsidR="0038516D" w:rsidRDefault="0038516D" w:rsidP="0098596A">
      <w:pPr>
        <w:spacing w:before="60" w:after="60" w:line="300" w:lineRule="atLeast"/>
        <w:ind w:firstLine="720"/>
        <w:jc w:val="both"/>
        <w:rPr>
          <w:rFonts w:ascii="Times New Roman Bold" w:hAnsi="Times New Roman Bold" w:cs="Times New Roman"/>
          <w:b/>
          <w:spacing w:val="-4"/>
          <w:sz w:val="28"/>
          <w:szCs w:val="28"/>
        </w:rPr>
      </w:pPr>
      <w:r>
        <w:rPr>
          <w:rFonts w:ascii="Times New Roman Bold" w:hAnsi="Times New Roman Bold" w:cs="Times New Roman"/>
          <w:b/>
          <w:spacing w:val="-4"/>
          <w:sz w:val="28"/>
          <w:szCs w:val="28"/>
        </w:rPr>
        <w:t>Kính thưa cộng đồng các doanh nghiệp!</w:t>
      </w:r>
    </w:p>
    <w:p w:rsidR="00545DE9" w:rsidRPr="00545DE9" w:rsidRDefault="00E87F52" w:rsidP="0098596A">
      <w:pPr>
        <w:spacing w:before="60" w:after="60" w:line="300" w:lineRule="atLeast"/>
        <w:ind w:firstLine="720"/>
        <w:jc w:val="both"/>
        <w:rPr>
          <w:rFonts w:ascii="Times New Roman Bold" w:hAnsi="Times New Roman Bold" w:cs="Times New Roman"/>
          <w:b/>
          <w:spacing w:val="-4"/>
          <w:sz w:val="28"/>
          <w:szCs w:val="28"/>
        </w:rPr>
      </w:pPr>
      <w:r>
        <w:rPr>
          <w:rFonts w:ascii="Times New Roman Bold" w:hAnsi="Times New Roman Bold" w:cs="Times New Roman"/>
          <w:b/>
          <w:spacing w:val="-4"/>
          <w:sz w:val="28"/>
          <w:szCs w:val="28"/>
        </w:rPr>
        <w:t>T</w:t>
      </w:r>
      <w:r w:rsidR="00545DE9" w:rsidRPr="00545DE9">
        <w:rPr>
          <w:rFonts w:ascii="Times New Roman Bold" w:hAnsi="Times New Roman Bold" w:cs="Times New Roman"/>
          <w:b/>
          <w:spacing w:val="-4"/>
          <w:sz w:val="28"/>
          <w:szCs w:val="28"/>
        </w:rPr>
        <w:t xml:space="preserve">hưa toàn thể </w:t>
      </w:r>
      <w:r w:rsidR="00EE552E">
        <w:rPr>
          <w:rFonts w:ascii="Times New Roman Bold" w:hAnsi="Times New Roman Bold" w:cs="Times New Roman"/>
          <w:b/>
          <w:spacing w:val="-4"/>
          <w:sz w:val="28"/>
          <w:szCs w:val="28"/>
        </w:rPr>
        <w:t>Hội nghị</w:t>
      </w:r>
      <w:r w:rsidR="00545DE9" w:rsidRPr="00545DE9">
        <w:rPr>
          <w:rFonts w:ascii="Times New Roman Bold" w:hAnsi="Times New Roman Bold" w:cs="Times New Roman"/>
          <w:b/>
          <w:spacing w:val="-4"/>
          <w:sz w:val="28"/>
          <w:szCs w:val="28"/>
        </w:rPr>
        <w:t>!</w:t>
      </w:r>
    </w:p>
    <w:p w:rsidR="003447EB" w:rsidRDefault="00CB6252" w:rsidP="0098596A">
      <w:pPr>
        <w:pStyle w:val="BodyText2"/>
        <w:spacing w:before="60" w:after="60" w:line="300" w:lineRule="atLeast"/>
        <w:ind w:firstLine="720"/>
        <w:jc w:val="both"/>
        <w:rPr>
          <w:rStyle w:val="normalchar"/>
          <w:rFonts w:eastAsia="Calibri"/>
          <w:spacing w:val="-4"/>
          <w:sz w:val="28"/>
          <w:szCs w:val="28"/>
          <w:lang w:val="sv-SE"/>
        </w:rPr>
      </w:pPr>
      <w:r>
        <w:rPr>
          <w:spacing w:val="-4"/>
          <w:sz w:val="28"/>
          <w:szCs w:val="28"/>
          <w:lang w:val="pl-PL"/>
        </w:rPr>
        <w:t xml:space="preserve">Trong </w:t>
      </w:r>
      <w:r w:rsidR="00D83F56">
        <w:rPr>
          <w:spacing w:val="-4"/>
          <w:sz w:val="28"/>
          <w:szCs w:val="28"/>
          <w:lang w:val="pl-PL"/>
        </w:rPr>
        <w:t>thời gian</w:t>
      </w:r>
      <w:r>
        <w:rPr>
          <w:spacing w:val="-4"/>
          <w:sz w:val="28"/>
          <w:szCs w:val="28"/>
          <w:lang w:val="pl-PL"/>
        </w:rPr>
        <w:t xml:space="preserve"> qua, </w:t>
      </w:r>
      <w:r>
        <w:rPr>
          <w:rStyle w:val="normalchar"/>
          <w:rFonts w:eastAsia="Calibri"/>
          <w:spacing w:val="-4"/>
          <w:sz w:val="28"/>
          <w:szCs w:val="28"/>
          <w:lang w:val="sv-SE"/>
        </w:rPr>
        <w:t xml:space="preserve">Chính phủ </w:t>
      </w:r>
      <w:r w:rsidR="00D83F56">
        <w:rPr>
          <w:rStyle w:val="normalchar"/>
          <w:rFonts w:eastAsia="Calibri"/>
          <w:spacing w:val="-4"/>
          <w:sz w:val="28"/>
          <w:szCs w:val="28"/>
          <w:lang w:val="sv-SE"/>
        </w:rPr>
        <w:t xml:space="preserve">đã </w:t>
      </w:r>
      <w:r w:rsidR="005946B6">
        <w:rPr>
          <w:rStyle w:val="normalchar"/>
          <w:rFonts w:eastAsia="Calibri"/>
          <w:spacing w:val="-4"/>
          <w:sz w:val="28"/>
          <w:szCs w:val="28"/>
          <w:lang w:val="sv-SE"/>
        </w:rPr>
        <w:t xml:space="preserve">rất </w:t>
      </w:r>
      <w:r w:rsidR="00D83F56">
        <w:rPr>
          <w:rStyle w:val="normalchar"/>
          <w:rFonts w:eastAsia="Calibri"/>
          <w:spacing w:val="-4"/>
          <w:sz w:val="28"/>
          <w:szCs w:val="28"/>
          <w:lang w:val="sv-SE"/>
        </w:rPr>
        <w:t>kiên định</w:t>
      </w:r>
      <w:r w:rsidR="00261EA2">
        <w:rPr>
          <w:rStyle w:val="normalchar"/>
          <w:rFonts w:eastAsia="Calibri"/>
          <w:spacing w:val="-4"/>
          <w:sz w:val="28"/>
          <w:szCs w:val="28"/>
          <w:lang w:val="sv-SE"/>
        </w:rPr>
        <w:t xml:space="preserve"> trong việc chỉ đạo</w:t>
      </w:r>
      <w:r w:rsidR="00D83F56">
        <w:rPr>
          <w:rStyle w:val="normalchar"/>
          <w:rFonts w:eastAsia="Calibri"/>
          <w:spacing w:val="-4"/>
          <w:sz w:val="28"/>
          <w:szCs w:val="28"/>
          <w:lang w:val="sv-SE"/>
        </w:rPr>
        <w:t xml:space="preserve"> điều hành </w:t>
      </w:r>
      <w:r w:rsidR="00797F6B">
        <w:rPr>
          <w:rStyle w:val="normalchar"/>
          <w:rFonts w:eastAsia="Calibri"/>
          <w:spacing w:val="-4"/>
          <w:sz w:val="28"/>
          <w:szCs w:val="28"/>
          <w:lang w:val="sv-SE"/>
        </w:rPr>
        <w:t>ổn định kinh tế vĩ mô, kiểm soát lạm phát</w:t>
      </w:r>
      <w:r w:rsidR="007C715D">
        <w:rPr>
          <w:rStyle w:val="normalchar"/>
          <w:rFonts w:eastAsia="Calibri"/>
          <w:spacing w:val="-4"/>
          <w:sz w:val="28"/>
          <w:szCs w:val="28"/>
          <w:lang w:val="sv-SE"/>
        </w:rPr>
        <w:t>, tăng trưởng kinh tế theo mục tiêu Quốc hội đã đề ra</w:t>
      </w:r>
      <w:r w:rsidR="00797F6B">
        <w:rPr>
          <w:rStyle w:val="normalchar"/>
          <w:rFonts w:eastAsia="Calibri"/>
          <w:spacing w:val="-4"/>
          <w:sz w:val="28"/>
          <w:szCs w:val="28"/>
          <w:lang w:val="sv-SE"/>
        </w:rPr>
        <w:t xml:space="preserve">. </w:t>
      </w:r>
      <w:r w:rsidR="007C715D">
        <w:rPr>
          <w:rStyle w:val="normalchar"/>
          <w:rFonts w:eastAsia="Calibri"/>
          <w:spacing w:val="-4"/>
          <w:sz w:val="28"/>
          <w:szCs w:val="28"/>
          <w:lang w:val="sv-SE"/>
        </w:rPr>
        <w:t xml:space="preserve">Những chính sách vĩ mô của Chính phủ chính là </w:t>
      </w:r>
      <w:r w:rsidR="007A4683">
        <w:rPr>
          <w:rStyle w:val="normalchar"/>
          <w:rFonts w:eastAsia="Calibri"/>
          <w:spacing w:val="-4"/>
          <w:sz w:val="28"/>
          <w:szCs w:val="28"/>
          <w:lang w:val="sv-SE"/>
        </w:rPr>
        <w:t>kim chỉ nam</w:t>
      </w:r>
      <w:r w:rsidR="007C715D">
        <w:rPr>
          <w:rStyle w:val="normalchar"/>
          <w:rFonts w:eastAsia="Calibri"/>
          <w:spacing w:val="-4"/>
          <w:sz w:val="28"/>
          <w:szCs w:val="28"/>
          <w:lang w:val="sv-SE"/>
        </w:rPr>
        <w:t xml:space="preserve"> để các Bộ, ngành </w:t>
      </w:r>
      <w:r w:rsidR="007A4683">
        <w:rPr>
          <w:rStyle w:val="normalchar"/>
          <w:rFonts w:eastAsia="Calibri"/>
          <w:spacing w:val="-4"/>
          <w:sz w:val="28"/>
          <w:szCs w:val="28"/>
          <w:lang w:val="sv-SE"/>
        </w:rPr>
        <w:t xml:space="preserve">có định hướng chính sách, giải pháp cho từng ngành, lĩnh vực, góp phần vào sự ổn định vĩ mô, phát triển kinh tế bền vững. </w:t>
      </w:r>
      <w:r w:rsidR="005946B6" w:rsidRPr="00666696">
        <w:rPr>
          <w:spacing w:val="-8"/>
          <w:sz w:val="28"/>
          <w:szCs w:val="28"/>
        </w:rPr>
        <w:t>Những kết quả</w:t>
      </w:r>
      <w:r w:rsidR="005946B6">
        <w:rPr>
          <w:spacing w:val="-8"/>
          <w:sz w:val="28"/>
          <w:szCs w:val="28"/>
        </w:rPr>
        <w:t xml:space="preserve"> tích cực </w:t>
      </w:r>
      <w:r w:rsidR="00190627">
        <w:rPr>
          <w:spacing w:val="-8"/>
          <w:sz w:val="28"/>
          <w:szCs w:val="28"/>
        </w:rPr>
        <w:t>từ sự điều hành quyết liệt, đúng hướng của Chính phủ</w:t>
      </w:r>
      <w:r w:rsidR="005946B6">
        <w:rPr>
          <w:spacing w:val="-8"/>
          <w:sz w:val="28"/>
          <w:szCs w:val="28"/>
        </w:rPr>
        <w:t xml:space="preserve"> </w:t>
      </w:r>
      <w:r w:rsidR="005946B6" w:rsidRPr="00666696">
        <w:rPr>
          <w:spacing w:val="-8"/>
          <w:sz w:val="28"/>
          <w:szCs w:val="28"/>
        </w:rPr>
        <w:t xml:space="preserve">là yếu tố quan trọng để các tổ chức quốc tế từng bước nâng cao hệ số tín nhiệm của Việt Nam và gần đây vào tháng 4/2017, Moody’s nâng triển vọng kinh tế </w:t>
      </w:r>
      <w:r w:rsidR="000634CA">
        <w:rPr>
          <w:spacing w:val="-8"/>
          <w:sz w:val="28"/>
          <w:szCs w:val="28"/>
        </w:rPr>
        <w:t xml:space="preserve">của Việt Nam và xếp hạng </w:t>
      </w:r>
      <w:r w:rsidR="000634CA">
        <w:rPr>
          <w:spacing w:val="-8"/>
          <w:sz w:val="28"/>
          <w:szCs w:val="28"/>
        </w:rPr>
        <w:t xml:space="preserve">8 ngân hàng </w:t>
      </w:r>
      <w:r w:rsidR="000634CA">
        <w:rPr>
          <w:spacing w:val="-8"/>
          <w:sz w:val="28"/>
          <w:szCs w:val="28"/>
        </w:rPr>
        <w:t>thương mại</w:t>
      </w:r>
      <w:r w:rsidR="000634CA">
        <w:rPr>
          <w:spacing w:val="-8"/>
          <w:sz w:val="28"/>
          <w:szCs w:val="28"/>
        </w:rPr>
        <w:t xml:space="preserve"> </w:t>
      </w:r>
      <w:r w:rsidR="005946B6" w:rsidRPr="00666696">
        <w:rPr>
          <w:spacing w:val="-8"/>
          <w:sz w:val="28"/>
          <w:szCs w:val="28"/>
        </w:rPr>
        <w:t>từ ổn định lên tích cực</w:t>
      </w:r>
      <w:r w:rsidR="000634CA">
        <w:rPr>
          <w:spacing w:val="-8"/>
          <w:sz w:val="28"/>
          <w:szCs w:val="28"/>
        </w:rPr>
        <w:t xml:space="preserve">, </w:t>
      </w:r>
      <w:r w:rsidR="005946B6">
        <w:rPr>
          <w:spacing w:val="-8"/>
          <w:sz w:val="28"/>
          <w:szCs w:val="28"/>
        </w:rPr>
        <w:t xml:space="preserve">qua đó củng cố lòng tin </w:t>
      </w:r>
      <w:r w:rsidR="009B7422">
        <w:rPr>
          <w:spacing w:val="-8"/>
          <w:sz w:val="28"/>
          <w:szCs w:val="28"/>
        </w:rPr>
        <w:t xml:space="preserve">của </w:t>
      </w:r>
      <w:r w:rsidR="005946B6">
        <w:rPr>
          <w:spacing w:val="-8"/>
          <w:sz w:val="28"/>
          <w:szCs w:val="28"/>
        </w:rPr>
        <w:t>các nhà đầu tư nước ngoài</w:t>
      </w:r>
      <w:r w:rsidR="00637A2F">
        <w:rPr>
          <w:spacing w:val="-8"/>
          <w:sz w:val="28"/>
          <w:szCs w:val="28"/>
        </w:rPr>
        <w:t xml:space="preserve"> và </w:t>
      </w:r>
      <w:r w:rsidR="005946B6">
        <w:rPr>
          <w:spacing w:val="-8"/>
          <w:sz w:val="28"/>
          <w:szCs w:val="28"/>
        </w:rPr>
        <w:t>tạo điều kiện cho các doanh nghiệp Việt Nam cải thiện hệ số tín nhiệm để tiếp cận thuận lợi nguồn vốn với chi phí hợp lý trên thị trường tài chính quốc tế.</w:t>
      </w:r>
    </w:p>
    <w:p w:rsidR="00A146FD" w:rsidRDefault="00DE320A" w:rsidP="0098596A">
      <w:pPr>
        <w:pStyle w:val="BodyText2"/>
        <w:spacing w:before="60" w:after="60" w:line="300" w:lineRule="atLeast"/>
        <w:ind w:firstLine="720"/>
        <w:jc w:val="both"/>
        <w:rPr>
          <w:rStyle w:val="normalchar"/>
          <w:rFonts w:eastAsia="Calibri"/>
          <w:spacing w:val="-4"/>
          <w:sz w:val="28"/>
          <w:szCs w:val="28"/>
          <w:lang w:val="sv-SE"/>
        </w:rPr>
      </w:pPr>
      <w:r>
        <w:rPr>
          <w:rStyle w:val="normalchar"/>
          <w:rFonts w:eastAsia="Calibri"/>
          <w:spacing w:val="-4"/>
          <w:sz w:val="28"/>
          <w:szCs w:val="28"/>
          <w:lang w:val="sv-SE"/>
        </w:rPr>
        <w:t>Trên cơ sở</w:t>
      </w:r>
      <w:r w:rsidR="00A146FD">
        <w:rPr>
          <w:rStyle w:val="normalchar"/>
          <w:rFonts w:eastAsia="Calibri"/>
          <w:spacing w:val="-4"/>
          <w:sz w:val="28"/>
          <w:szCs w:val="28"/>
          <w:lang w:val="sv-SE"/>
        </w:rPr>
        <w:t xml:space="preserve"> định hướng</w:t>
      </w:r>
      <w:r>
        <w:rPr>
          <w:rStyle w:val="normalchar"/>
          <w:rFonts w:eastAsia="Calibri"/>
          <w:spacing w:val="-4"/>
          <w:sz w:val="28"/>
          <w:szCs w:val="28"/>
          <w:lang w:val="sv-SE"/>
        </w:rPr>
        <w:t>, chỉ đạo điều hành</w:t>
      </w:r>
      <w:r w:rsidR="00A146FD">
        <w:rPr>
          <w:rStyle w:val="normalchar"/>
          <w:rFonts w:eastAsia="Calibri"/>
          <w:spacing w:val="-4"/>
          <w:sz w:val="28"/>
          <w:szCs w:val="28"/>
          <w:lang w:val="sv-SE"/>
        </w:rPr>
        <w:t xml:space="preserve"> của Chính phủ, </w:t>
      </w:r>
      <w:r w:rsidR="00C476C3">
        <w:rPr>
          <w:spacing w:val="-4"/>
          <w:sz w:val="28"/>
          <w:szCs w:val="28"/>
          <w:lang w:val="sv-SE"/>
        </w:rPr>
        <w:t xml:space="preserve">NHNN đã </w:t>
      </w:r>
      <w:r w:rsidR="00796BFE" w:rsidRPr="00666696">
        <w:rPr>
          <w:spacing w:val="-8"/>
          <w:sz w:val="28"/>
          <w:szCs w:val="28"/>
        </w:rPr>
        <w:t>thực thi các giải pháp chủ động và phối hợp chặt ch</w:t>
      </w:r>
      <w:r w:rsidR="005E478B">
        <w:rPr>
          <w:spacing w:val="-8"/>
          <w:sz w:val="28"/>
          <w:szCs w:val="28"/>
        </w:rPr>
        <w:t xml:space="preserve">ẽ với chính sách vĩ mô khác, </w:t>
      </w:r>
      <w:r w:rsidR="00796BFE" w:rsidRPr="00666696">
        <w:rPr>
          <w:spacing w:val="-8"/>
          <w:sz w:val="28"/>
          <w:szCs w:val="28"/>
        </w:rPr>
        <w:t xml:space="preserve">đạt </w:t>
      </w:r>
      <w:r w:rsidR="005E478B">
        <w:rPr>
          <w:spacing w:val="-8"/>
          <w:sz w:val="28"/>
          <w:szCs w:val="28"/>
        </w:rPr>
        <w:t xml:space="preserve">được </w:t>
      </w:r>
      <w:r w:rsidR="00796BFE" w:rsidRPr="00666696">
        <w:rPr>
          <w:spacing w:val="-8"/>
          <w:sz w:val="28"/>
          <w:szCs w:val="28"/>
        </w:rPr>
        <w:t>mục tiêu</w:t>
      </w:r>
      <w:r w:rsidR="00796BFE">
        <w:rPr>
          <w:spacing w:val="-8"/>
          <w:sz w:val="28"/>
          <w:szCs w:val="28"/>
        </w:rPr>
        <w:t xml:space="preserve"> kiểm soát lạm phát ở mức </w:t>
      </w:r>
      <w:r w:rsidR="00796BFE" w:rsidRPr="00666696">
        <w:rPr>
          <w:spacing w:val="-8"/>
          <w:sz w:val="28"/>
          <w:szCs w:val="28"/>
        </w:rPr>
        <w:t>một</w:t>
      </w:r>
      <w:r w:rsidR="00796BFE" w:rsidRPr="00666696">
        <w:rPr>
          <w:bCs/>
          <w:noProof/>
          <w:spacing w:val="-8"/>
          <w:sz w:val="28"/>
          <w:szCs w:val="28"/>
        </w:rPr>
        <w:t xml:space="preserve"> con số,</w:t>
      </w:r>
      <w:r w:rsidR="00796BFE">
        <w:rPr>
          <w:bCs/>
          <w:noProof/>
          <w:spacing w:val="-8"/>
          <w:sz w:val="28"/>
          <w:szCs w:val="28"/>
        </w:rPr>
        <w:t xml:space="preserve"> </w:t>
      </w:r>
      <w:r w:rsidR="005E478B">
        <w:rPr>
          <w:bCs/>
          <w:noProof/>
          <w:spacing w:val="-8"/>
          <w:sz w:val="28"/>
          <w:szCs w:val="28"/>
        </w:rPr>
        <w:t xml:space="preserve">ổn định lãi suất và tỷ giá, </w:t>
      </w:r>
      <w:r w:rsidR="00796BFE">
        <w:rPr>
          <w:bCs/>
          <w:noProof/>
          <w:spacing w:val="-8"/>
          <w:sz w:val="28"/>
          <w:szCs w:val="28"/>
        </w:rPr>
        <w:t xml:space="preserve">củng cố lòng tin vào VND, </w:t>
      </w:r>
      <w:r w:rsidR="00796BFE" w:rsidRPr="00666696">
        <w:rPr>
          <w:spacing w:val="-8"/>
          <w:sz w:val="28"/>
          <w:szCs w:val="28"/>
        </w:rPr>
        <w:t xml:space="preserve">tăng dự trữ ngoại hối Nhà nước </w:t>
      </w:r>
      <w:r w:rsidR="00796BFE">
        <w:rPr>
          <w:spacing w:val="-8"/>
          <w:sz w:val="28"/>
          <w:szCs w:val="28"/>
        </w:rPr>
        <w:t xml:space="preserve">lên mức cao nhất </w:t>
      </w:r>
      <w:r w:rsidR="00796BFE" w:rsidRPr="00666696">
        <w:rPr>
          <w:spacing w:val="-8"/>
          <w:sz w:val="28"/>
          <w:szCs w:val="28"/>
        </w:rPr>
        <w:t>từ trước tới nay</w:t>
      </w:r>
      <w:r w:rsidR="00796BFE">
        <w:rPr>
          <w:spacing w:val="-8"/>
          <w:sz w:val="28"/>
          <w:szCs w:val="28"/>
        </w:rPr>
        <w:t xml:space="preserve"> qua đó </w:t>
      </w:r>
      <w:r w:rsidR="00796BFE" w:rsidRPr="00666696">
        <w:rPr>
          <w:spacing w:val="-8"/>
          <w:sz w:val="28"/>
          <w:szCs w:val="28"/>
        </w:rPr>
        <w:t>góp phần tăng cường ổn định kinh tế vĩ mô</w:t>
      </w:r>
      <w:r w:rsidR="003447EB">
        <w:rPr>
          <w:spacing w:val="-8"/>
          <w:sz w:val="28"/>
          <w:szCs w:val="28"/>
        </w:rPr>
        <w:t>,</w:t>
      </w:r>
      <w:r w:rsidR="003447EB" w:rsidRPr="003447EB">
        <w:rPr>
          <w:rStyle w:val="normalchar"/>
          <w:rFonts w:eastAsia="Calibri"/>
          <w:spacing w:val="-4"/>
          <w:sz w:val="28"/>
          <w:szCs w:val="28"/>
          <w:lang w:val="sv-SE"/>
        </w:rPr>
        <w:t xml:space="preserve"> </w:t>
      </w:r>
      <w:r w:rsidR="00B31C22">
        <w:rPr>
          <w:rStyle w:val="normalchar"/>
          <w:rFonts w:eastAsia="Calibri"/>
          <w:spacing w:val="-4"/>
          <w:sz w:val="28"/>
          <w:szCs w:val="28"/>
          <w:lang w:val="sv-SE"/>
        </w:rPr>
        <w:t xml:space="preserve">tạo </w:t>
      </w:r>
      <w:r w:rsidR="003447EB">
        <w:rPr>
          <w:rStyle w:val="normalchar"/>
          <w:rFonts w:eastAsia="Calibri"/>
          <w:spacing w:val="-4"/>
          <w:sz w:val="28"/>
          <w:szCs w:val="28"/>
          <w:lang w:val="sv-SE"/>
        </w:rPr>
        <w:t>môi trường thuận lợi cho doanh nghiệp phục hồi trong giai đoạn khó khăn và yên tâm đầu tư mở rộng sản xuất kinh doanh.</w:t>
      </w:r>
      <w:r w:rsidR="00C476C3">
        <w:rPr>
          <w:spacing w:val="-4"/>
          <w:sz w:val="28"/>
          <w:szCs w:val="28"/>
          <w:lang w:val="pl-PL"/>
        </w:rPr>
        <w:t xml:space="preserve"> Đặc biệt, năm 2016, để triển khai Nghị quyết 35/NQ-CP, NHNN đã ban hành Kế hoạch hành động của ngành Ngân hàng (Quyết định 1335/QĐ-NHNN), trong đó đề ra nhiều giải pháp đồng bộ, cụ thể nhằm góp phần cải thiện môi trường kinh doanh, nâng cao năng lực cạnh tranh quốc gia, hỗ trợ và phát triển doanh nghiệp. Trên cơ sở đó, ngành Ngân hàng đã tập trung triển khai quyết liệt các giải pháp cụ thể </w:t>
      </w:r>
      <w:r w:rsidR="00C476C3">
        <w:rPr>
          <w:rStyle w:val="normalchar"/>
          <w:rFonts w:eastAsia="Calibri"/>
          <w:spacing w:val="-4"/>
          <w:sz w:val="28"/>
          <w:szCs w:val="28"/>
          <w:lang w:val="sv-SE"/>
        </w:rPr>
        <w:t>như sau:</w:t>
      </w:r>
    </w:p>
    <w:p w:rsidR="00B578B7" w:rsidRDefault="00B578B7" w:rsidP="0098596A">
      <w:pPr>
        <w:spacing w:before="60" w:after="60" w:line="300" w:lineRule="atLeast"/>
        <w:ind w:firstLine="720"/>
        <w:jc w:val="both"/>
        <w:rPr>
          <w:rFonts w:ascii="Times New Roman" w:eastAsia="Times New Roman" w:hAnsi="Times New Roman"/>
          <w:i/>
          <w:sz w:val="28"/>
          <w:szCs w:val="28"/>
          <w:lang w:val="pl-PL"/>
        </w:rPr>
      </w:pPr>
      <w:r>
        <w:rPr>
          <w:rFonts w:ascii="Times New Roman" w:hAnsi="Times New Roman" w:cs="Times New Roman"/>
          <w:b/>
          <w:iCs/>
          <w:color w:val="000000"/>
          <w:sz w:val="28"/>
          <w:szCs w:val="28"/>
          <w:lang w:val="sv-SE"/>
        </w:rPr>
        <w:t>1</w:t>
      </w:r>
      <w:r w:rsidRPr="002B3BB4">
        <w:rPr>
          <w:rFonts w:ascii="Times New Roman" w:hAnsi="Times New Roman" w:cs="Times New Roman"/>
          <w:b/>
          <w:iCs/>
          <w:color w:val="000000"/>
          <w:sz w:val="28"/>
          <w:szCs w:val="28"/>
          <w:lang w:val="sv-SE"/>
        </w:rPr>
        <w:t xml:space="preserve">. </w:t>
      </w:r>
      <w:r w:rsidRPr="000E1165">
        <w:rPr>
          <w:rFonts w:ascii="Times New Roman" w:eastAsia="Times New Roman" w:hAnsi="Times New Roman"/>
          <w:i/>
          <w:sz w:val="28"/>
          <w:szCs w:val="28"/>
          <w:lang w:val="pl-PL"/>
        </w:rPr>
        <w:t>Về đ</w:t>
      </w:r>
      <w:r w:rsidRPr="00B93E38">
        <w:rPr>
          <w:rFonts w:ascii="Times New Roman" w:eastAsia="Times New Roman" w:hAnsi="Times New Roman"/>
          <w:i/>
          <w:sz w:val="28"/>
          <w:szCs w:val="28"/>
          <w:lang w:val="pl-PL"/>
        </w:rPr>
        <w:t>iều hành tín dụng</w:t>
      </w:r>
      <w:r w:rsidR="00047CAA">
        <w:rPr>
          <w:rFonts w:ascii="Times New Roman" w:eastAsia="Times New Roman" w:hAnsi="Times New Roman"/>
          <w:i/>
          <w:sz w:val="28"/>
          <w:szCs w:val="28"/>
          <w:lang w:val="pl-PL"/>
        </w:rPr>
        <w:t>, cung ứng vốn ngắn và trung dài hạn cho doanh nghiệp và nền kinh tế</w:t>
      </w:r>
    </w:p>
    <w:p w:rsidR="00B578B7" w:rsidRDefault="00B578B7" w:rsidP="0098596A">
      <w:pPr>
        <w:spacing w:before="60" w:after="60" w:line="300" w:lineRule="atLeast"/>
        <w:ind w:firstLine="720"/>
        <w:jc w:val="both"/>
        <w:rPr>
          <w:rFonts w:ascii="Times New Roman" w:eastAsia="Times New Roman" w:hAnsi="Times New Roman"/>
          <w:sz w:val="28"/>
          <w:szCs w:val="28"/>
          <w:lang w:val="pl-PL"/>
        </w:rPr>
      </w:pPr>
      <w:r>
        <w:rPr>
          <w:rFonts w:ascii="Times New Roman" w:eastAsia="Times New Roman" w:hAnsi="Times New Roman"/>
          <w:i/>
          <w:sz w:val="28"/>
          <w:szCs w:val="28"/>
          <w:lang w:val="pl-PL"/>
        </w:rPr>
        <w:t xml:space="preserve"> </w:t>
      </w:r>
      <w:r>
        <w:rPr>
          <w:rFonts w:ascii="Times New Roman" w:eastAsia="Times New Roman" w:hAnsi="Times New Roman"/>
          <w:sz w:val="28"/>
          <w:szCs w:val="28"/>
          <w:lang w:val="pl-PL"/>
        </w:rPr>
        <w:t xml:space="preserve">NHNN đã điều hành đồng bộ các giải pháp nhằm </w:t>
      </w:r>
      <w:r w:rsidRPr="000A380D">
        <w:rPr>
          <w:rFonts w:ascii="Times New Roman" w:eastAsia="Times New Roman" w:hAnsi="Times New Roman"/>
          <w:sz w:val="28"/>
          <w:szCs w:val="28"/>
          <w:lang w:val="pl-PL"/>
        </w:rPr>
        <w:t>mở rộng tín dụng có hiệu quả</w:t>
      </w:r>
      <w:r w:rsidRPr="00772539">
        <w:rPr>
          <w:rFonts w:ascii="Times New Roman" w:eastAsia="Times New Roman" w:hAnsi="Times New Roman"/>
          <w:sz w:val="28"/>
          <w:szCs w:val="28"/>
          <w:lang w:val="pl-PL"/>
        </w:rPr>
        <w:t xml:space="preserve">, </w:t>
      </w:r>
      <w:r>
        <w:rPr>
          <w:rFonts w:ascii="Times New Roman" w:eastAsia="Times New Roman" w:hAnsi="Times New Roman"/>
          <w:sz w:val="28"/>
          <w:szCs w:val="28"/>
          <w:lang w:val="pl-PL"/>
        </w:rPr>
        <w:t xml:space="preserve">phù hợp với mục tiêu kiểm soát lạm phát, </w:t>
      </w:r>
      <w:r w:rsidRPr="00772539">
        <w:rPr>
          <w:rFonts w:ascii="Times New Roman" w:eastAsia="Times New Roman" w:hAnsi="Times New Roman"/>
          <w:sz w:val="28"/>
          <w:szCs w:val="28"/>
          <w:lang w:val="pl-PL"/>
        </w:rPr>
        <w:t xml:space="preserve">đảm bảo cung ứng </w:t>
      </w:r>
      <w:r w:rsidR="00FF7412">
        <w:rPr>
          <w:rFonts w:ascii="Times New Roman" w:eastAsia="Times New Roman" w:hAnsi="Times New Roman"/>
          <w:sz w:val="28"/>
          <w:szCs w:val="28"/>
          <w:lang w:val="pl-PL"/>
        </w:rPr>
        <w:t>khoảng</w:t>
      </w:r>
      <w:r>
        <w:rPr>
          <w:rFonts w:ascii="Times New Roman" w:eastAsia="Times New Roman" w:hAnsi="Times New Roman"/>
          <w:sz w:val="28"/>
          <w:szCs w:val="28"/>
          <w:lang w:val="pl-PL"/>
        </w:rPr>
        <w:t xml:space="preserve"> </w:t>
      </w:r>
      <w:r w:rsidR="00727DA0">
        <w:rPr>
          <w:rFonts w:ascii="Times New Roman" w:eastAsia="Times New Roman" w:hAnsi="Times New Roman"/>
          <w:sz w:val="28"/>
          <w:szCs w:val="28"/>
          <w:lang w:val="pl-PL"/>
        </w:rPr>
        <w:t>7</w:t>
      </w:r>
      <w:r>
        <w:rPr>
          <w:rFonts w:ascii="Times New Roman" w:eastAsia="Times New Roman" w:hAnsi="Times New Roman"/>
          <w:sz w:val="28"/>
          <w:szCs w:val="28"/>
          <w:lang w:val="pl-PL"/>
        </w:rPr>
        <w:t xml:space="preserve">0% </w:t>
      </w:r>
      <w:r w:rsidRPr="00772539">
        <w:rPr>
          <w:rFonts w:ascii="Times New Roman" w:eastAsia="Times New Roman" w:hAnsi="Times New Roman"/>
          <w:sz w:val="28"/>
          <w:szCs w:val="28"/>
          <w:lang w:val="pl-PL"/>
        </w:rPr>
        <w:t xml:space="preserve">vốn </w:t>
      </w:r>
      <w:r>
        <w:rPr>
          <w:rFonts w:ascii="Times New Roman" w:eastAsia="Times New Roman" w:hAnsi="Times New Roman"/>
          <w:sz w:val="28"/>
          <w:szCs w:val="28"/>
          <w:lang w:val="pl-PL"/>
        </w:rPr>
        <w:t>đầu tư cho</w:t>
      </w:r>
      <w:r w:rsidRPr="00772539">
        <w:rPr>
          <w:rFonts w:ascii="Times New Roman" w:eastAsia="Times New Roman" w:hAnsi="Times New Roman"/>
          <w:sz w:val="28"/>
          <w:szCs w:val="28"/>
          <w:lang w:val="pl-PL"/>
        </w:rPr>
        <w:t xml:space="preserve"> nền kinh tế</w:t>
      </w:r>
      <w:r>
        <w:rPr>
          <w:rFonts w:ascii="Times New Roman" w:eastAsia="Times New Roman" w:hAnsi="Times New Roman"/>
          <w:sz w:val="28"/>
          <w:szCs w:val="28"/>
          <w:lang w:val="pl-PL"/>
        </w:rPr>
        <w:t xml:space="preserve">. </w:t>
      </w:r>
      <w:r w:rsidRPr="00AD55A9">
        <w:rPr>
          <w:rFonts w:ascii="Times New Roman" w:eastAsia="Times New Roman" w:hAnsi="Times New Roman"/>
          <w:sz w:val="28"/>
          <w:szCs w:val="28"/>
          <w:lang w:val="pl-PL"/>
        </w:rPr>
        <w:t>Cơ cấu tín dụng tập trung chủ yếu vào lĩnh vực sản xuất kinh doanh với tỷ trọng khoảng 80%, nhất là các lĩnh vực ưu tiên</w:t>
      </w:r>
      <w:r>
        <w:rPr>
          <w:rFonts w:ascii="Times New Roman" w:eastAsia="Times New Roman" w:hAnsi="Times New Roman"/>
          <w:sz w:val="28"/>
          <w:szCs w:val="28"/>
          <w:lang w:val="pl-PL"/>
        </w:rPr>
        <w:t>, các dự án lớn, trọng tâm trọng điểm</w:t>
      </w:r>
      <w:r w:rsidRPr="00AD55A9">
        <w:rPr>
          <w:rFonts w:ascii="Times New Roman" w:eastAsia="Times New Roman" w:hAnsi="Times New Roman"/>
          <w:sz w:val="28"/>
          <w:szCs w:val="28"/>
          <w:lang w:val="pl-PL"/>
        </w:rPr>
        <w:t xml:space="preserve"> theo chủ trương của Chính phủ (chiếm khoảng 50% tổng dư nợ), trong đó tín dụng đối với nông nghiệp, nông thôn chiếm khoảng 19%; tín dụng đối với DNVVN chiếm khoảng 22%</w:t>
      </w:r>
      <w:r>
        <w:rPr>
          <w:rFonts w:ascii="Times New Roman" w:eastAsia="Times New Roman" w:hAnsi="Times New Roman"/>
          <w:sz w:val="28"/>
          <w:szCs w:val="28"/>
          <w:lang w:val="pl-PL"/>
        </w:rPr>
        <w:t xml:space="preserve"> tổng dư nợ của nền kinh tế</w:t>
      </w:r>
      <w:r w:rsidRPr="00AD55A9">
        <w:rPr>
          <w:rFonts w:ascii="Times New Roman" w:eastAsia="Times New Roman" w:hAnsi="Times New Roman"/>
          <w:sz w:val="28"/>
          <w:szCs w:val="28"/>
          <w:lang w:val="pl-PL"/>
        </w:rPr>
        <w:t xml:space="preserve">. </w:t>
      </w:r>
    </w:p>
    <w:p w:rsidR="00B578B7" w:rsidRDefault="00B578B7" w:rsidP="0098596A">
      <w:pPr>
        <w:spacing w:before="60" w:after="60" w:line="300" w:lineRule="atLeast"/>
        <w:ind w:firstLine="720"/>
        <w:jc w:val="both"/>
        <w:rPr>
          <w:rFonts w:ascii="Times New Roman" w:eastAsia="Times New Roman" w:hAnsi="Times New Roman"/>
          <w:sz w:val="28"/>
          <w:szCs w:val="28"/>
          <w:lang w:val="pl-PL"/>
        </w:rPr>
      </w:pPr>
      <w:r w:rsidRPr="00AD55A9">
        <w:rPr>
          <w:rFonts w:ascii="Times New Roman" w:eastAsia="Times New Roman" w:hAnsi="Times New Roman"/>
          <w:sz w:val="28"/>
          <w:szCs w:val="28"/>
          <w:lang w:val="pl-PL"/>
        </w:rPr>
        <w:t>Về tín dụng trung-dài hạn,</w:t>
      </w:r>
      <w:r>
        <w:rPr>
          <w:rFonts w:ascii="Times New Roman" w:eastAsia="Times New Roman" w:hAnsi="Times New Roman"/>
          <w:sz w:val="28"/>
          <w:szCs w:val="28"/>
          <w:lang w:val="pl-PL"/>
        </w:rPr>
        <w:t xml:space="preserve"> hiện nay </w:t>
      </w:r>
      <w:r w:rsidRPr="00A4113C">
        <w:rPr>
          <w:rFonts w:ascii="Times New Roman" w:eastAsia="Times New Roman" w:hAnsi="Times New Roman"/>
          <w:sz w:val="28"/>
          <w:szCs w:val="28"/>
          <w:lang w:val="pl-PL"/>
        </w:rPr>
        <w:t xml:space="preserve">tỷ trọng dư nợ cho vay trung dài hạn chiếm khoảng 53% tổng dư nợ tín dụng trong khi nguồn vốn huy động trung dài hạn toàn hệ </w:t>
      </w:r>
      <w:r>
        <w:rPr>
          <w:rFonts w:ascii="Times New Roman" w:eastAsia="Times New Roman" w:hAnsi="Times New Roman"/>
          <w:sz w:val="28"/>
          <w:szCs w:val="28"/>
          <w:lang w:val="pl-PL"/>
        </w:rPr>
        <w:t>thống TCTD chỉ chiếm khoảng 15%</w:t>
      </w:r>
      <w:r w:rsidRPr="00A4113C">
        <w:rPr>
          <w:rFonts w:ascii="Times New Roman" w:eastAsia="Times New Roman" w:hAnsi="Times New Roman"/>
          <w:sz w:val="28"/>
          <w:szCs w:val="28"/>
          <w:lang w:val="pl-PL"/>
        </w:rPr>
        <w:t xml:space="preserve"> đang tạo sức ép và rủi ro chênh lệch kỳ hạn cho hệ thống ngân hàng</w:t>
      </w:r>
      <w:r>
        <w:rPr>
          <w:rFonts w:ascii="Times New Roman" w:eastAsia="Times New Roman" w:hAnsi="Times New Roman"/>
          <w:sz w:val="28"/>
          <w:szCs w:val="28"/>
          <w:lang w:val="pl-PL"/>
        </w:rPr>
        <w:t xml:space="preserve">. Tuy nhiên </w:t>
      </w:r>
      <w:r w:rsidR="00201611">
        <w:rPr>
          <w:rFonts w:ascii="Times New Roman" w:eastAsia="Times New Roman" w:hAnsi="Times New Roman"/>
          <w:sz w:val="28"/>
          <w:szCs w:val="28"/>
          <w:lang w:val="pl-PL"/>
        </w:rPr>
        <w:t>để tạo nguồn vốn đầu tư</w:t>
      </w:r>
      <w:r>
        <w:rPr>
          <w:rFonts w:ascii="Times New Roman" w:eastAsia="Times New Roman" w:hAnsi="Times New Roman"/>
          <w:sz w:val="28"/>
          <w:szCs w:val="28"/>
          <w:lang w:val="pl-PL"/>
        </w:rPr>
        <w:t xml:space="preserve">, </w:t>
      </w:r>
      <w:r w:rsidRPr="00AD55A9">
        <w:rPr>
          <w:rFonts w:ascii="Times New Roman" w:eastAsia="Times New Roman" w:hAnsi="Times New Roman"/>
          <w:sz w:val="28"/>
          <w:szCs w:val="28"/>
          <w:lang w:val="pl-PL"/>
        </w:rPr>
        <w:t xml:space="preserve">NHNN </w:t>
      </w:r>
      <w:r>
        <w:rPr>
          <w:rFonts w:ascii="Times New Roman" w:eastAsia="Times New Roman" w:hAnsi="Times New Roman"/>
          <w:sz w:val="28"/>
          <w:szCs w:val="28"/>
          <w:lang w:val="pl-PL"/>
        </w:rPr>
        <w:lastRenderedPageBreak/>
        <w:t xml:space="preserve">vẫn </w:t>
      </w:r>
      <w:r w:rsidRPr="00AD55A9">
        <w:rPr>
          <w:rFonts w:ascii="Times New Roman" w:eastAsia="Times New Roman" w:hAnsi="Times New Roman"/>
          <w:sz w:val="28"/>
          <w:szCs w:val="28"/>
          <w:lang w:val="pl-PL"/>
        </w:rPr>
        <w:t xml:space="preserve">đang cho phép các TCTD sử dụng tối đa 50% vốn ngắn hạn cho vay trung dài hạn </w:t>
      </w:r>
      <w:r>
        <w:rPr>
          <w:rFonts w:ascii="Times New Roman" w:eastAsia="Times New Roman" w:hAnsi="Times New Roman"/>
          <w:sz w:val="28"/>
          <w:szCs w:val="28"/>
          <w:lang w:val="pl-PL"/>
        </w:rPr>
        <w:t>nhằm</w:t>
      </w:r>
      <w:r w:rsidRPr="00AD55A9">
        <w:rPr>
          <w:rFonts w:ascii="Times New Roman" w:eastAsia="Times New Roman" w:hAnsi="Times New Roman"/>
          <w:sz w:val="28"/>
          <w:szCs w:val="28"/>
          <w:lang w:val="pl-PL"/>
        </w:rPr>
        <w:t xml:space="preserve"> đáp ứng nhu cầu của doanh nghiệp</w:t>
      </w:r>
      <w:r>
        <w:rPr>
          <w:rFonts w:ascii="Times New Roman" w:eastAsia="Times New Roman" w:hAnsi="Times New Roman"/>
          <w:sz w:val="28"/>
          <w:szCs w:val="28"/>
          <w:lang w:val="pl-PL"/>
        </w:rPr>
        <w:t xml:space="preserve">, </w:t>
      </w:r>
      <w:r w:rsidR="00A002E2">
        <w:rPr>
          <w:rFonts w:ascii="Times New Roman" w:eastAsia="Times New Roman" w:hAnsi="Times New Roman"/>
          <w:sz w:val="28"/>
          <w:szCs w:val="28"/>
          <w:lang w:val="pl-PL"/>
        </w:rPr>
        <w:t>trong khi lẽ ra vốn đầu tư trung dài hạn của doanh nghiệp phải được huy động từ thi trường vốn, thị trường chứng khoán; nhưng do các thị trường này chưa phát triển, vốn</w:t>
      </w:r>
      <w:r w:rsidR="002C5B97">
        <w:rPr>
          <w:rFonts w:ascii="Times New Roman" w:eastAsia="Times New Roman" w:hAnsi="Times New Roman"/>
          <w:sz w:val="28"/>
          <w:szCs w:val="28"/>
          <w:lang w:val="pl-PL"/>
        </w:rPr>
        <w:t xml:space="preserve"> cung ứng</w:t>
      </w:r>
      <w:r w:rsidR="00A002E2">
        <w:rPr>
          <w:rFonts w:ascii="Times New Roman" w:eastAsia="Times New Roman" w:hAnsi="Times New Roman"/>
          <w:sz w:val="28"/>
          <w:szCs w:val="28"/>
          <w:lang w:val="pl-PL"/>
        </w:rPr>
        <w:t xml:space="preserve"> cho nền kinh tế vẫn chủ yếu th</w:t>
      </w:r>
      <w:r w:rsidR="002C5B97">
        <w:rPr>
          <w:rFonts w:ascii="Times New Roman" w:eastAsia="Times New Roman" w:hAnsi="Times New Roman"/>
          <w:sz w:val="28"/>
          <w:szCs w:val="28"/>
          <w:lang w:val="pl-PL"/>
        </w:rPr>
        <w:t>ực hiện qua hệ thống ngân hàng.</w:t>
      </w:r>
    </w:p>
    <w:p w:rsidR="00B578B7" w:rsidRDefault="00B578B7" w:rsidP="0098596A">
      <w:pPr>
        <w:spacing w:before="60" w:after="60" w:line="300" w:lineRule="atLeast"/>
        <w:ind w:firstLine="720"/>
        <w:jc w:val="both"/>
        <w:rPr>
          <w:rFonts w:ascii="Times New Roman" w:eastAsia="Times New Roman" w:hAnsi="Times New Roman"/>
          <w:sz w:val="28"/>
          <w:szCs w:val="28"/>
          <w:lang w:val="pl-PL"/>
        </w:rPr>
      </w:pPr>
      <w:r>
        <w:rPr>
          <w:rFonts w:ascii="Times New Roman" w:eastAsia="Times New Roman" w:hAnsi="Times New Roman"/>
          <w:sz w:val="28"/>
          <w:szCs w:val="28"/>
          <w:lang w:val="pl-PL"/>
        </w:rPr>
        <w:t>Đối với tín dụng ngoại tệ, NHNN c</w:t>
      </w:r>
      <w:r w:rsidRPr="005627E5">
        <w:rPr>
          <w:rFonts w:ascii="Times New Roman" w:eastAsia="Times New Roman" w:hAnsi="Times New Roman"/>
          <w:sz w:val="28"/>
          <w:szCs w:val="28"/>
          <w:lang w:val="pl-PL"/>
        </w:rPr>
        <w:t>ho phép</w:t>
      </w:r>
      <w:r>
        <w:rPr>
          <w:rFonts w:ascii="Times New Roman" w:eastAsia="Times New Roman" w:hAnsi="Times New Roman"/>
          <w:sz w:val="28"/>
          <w:szCs w:val="28"/>
          <w:lang w:val="pl-PL"/>
        </w:rPr>
        <w:t xml:space="preserve"> các</w:t>
      </w:r>
      <w:r w:rsidRPr="005627E5">
        <w:rPr>
          <w:rFonts w:ascii="Times New Roman" w:eastAsia="Times New Roman" w:hAnsi="Times New Roman"/>
          <w:sz w:val="28"/>
          <w:szCs w:val="28"/>
          <w:lang w:val="pl-PL"/>
        </w:rPr>
        <w:t xml:space="preserve"> TCTD được quyết định cho vay vốn bằng ngoại tệ để đáp ứng nhu cầu vốn ngắn hạn trong nước thực hiện phương án SXKD hàng xuất khẩu </w:t>
      </w:r>
      <w:r w:rsidR="005D2F3C">
        <w:rPr>
          <w:rFonts w:ascii="Times New Roman" w:eastAsia="Times New Roman" w:hAnsi="Times New Roman"/>
          <w:sz w:val="28"/>
          <w:szCs w:val="28"/>
          <w:lang w:val="pl-PL"/>
        </w:rPr>
        <w:t xml:space="preserve">cần được hỗ trợ </w:t>
      </w:r>
      <w:r w:rsidRPr="005627E5">
        <w:rPr>
          <w:rFonts w:ascii="Times New Roman" w:eastAsia="Times New Roman" w:hAnsi="Times New Roman"/>
          <w:sz w:val="28"/>
          <w:szCs w:val="28"/>
          <w:lang w:val="pl-PL"/>
        </w:rPr>
        <w:t xml:space="preserve">đến hết </w:t>
      </w:r>
      <w:r>
        <w:rPr>
          <w:rFonts w:ascii="Times New Roman" w:eastAsia="Times New Roman" w:hAnsi="Times New Roman"/>
          <w:sz w:val="28"/>
          <w:szCs w:val="28"/>
          <w:lang w:val="pl-PL"/>
        </w:rPr>
        <w:t xml:space="preserve">năm </w:t>
      </w:r>
      <w:r w:rsidRPr="005627E5">
        <w:rPr>
          <w:rFonts w:ascii="Times New Roman" w:eastAsia="Times New Roman" w:hAnsi="Times New Roman"/>
          <w:sz w:val="28"/>
          <w:szCs w:val="28"/>
          <w:lang w:val="pl-PL"/>
        </w:rPr>
        <w:t>2017;</w:t>
      </w:r>
      <w:r>
        <w:rPr>
          <w:rFonts w:ascii="Times New Roman" w:eastAsia="Times New Roman" w:hAnsi="Times New Roman"/>
          <w:sz w:val="28"/>
          <w:szCs w:val="28"/>
          <w:lang w:val="pl-PL"/>
        </w:rPr>
        <w:t xml:space="preserve"> đồng thời</w:t>
      </w:r>
      <w:r w:rsidRPr="005627E5">
        <w:rPr>
          <w:rFonts w:ascii="Times New Roman" w:eastAsia="Times New Roman" w:hAnsi="Times New Roman"/>
          <w:sz w:val="28"/>
          <w:szCs w:val="28"/>
          <w:lang w:val="pl-PL"/>
        </w:rPr>
        <w:t xml:space="preserve"> xem xét xử lý các đề nghị của TCTD về việc cho vay bằng ngoại tệ nhằm tạo điều kiện cho các doanh nghiệp có nhu cầu sử dụng ngoại tệ được vay vốn phục vụ hoạt động SXKD thuộc lĩnh vực ưu tiên, khuyến khích theo chủ trương của Chính phủ, </w:t>
      </w:r>
      <w:r>
        <w:rPr>
          <w:rFonts w:ascii="Times New Roman" w:eastAsia="Times New Roman" w:hAnsi="Times New Roman"/>
          <w:sz w:val="28"/>
          <w:szCs w:val="28"/>
          <w:lang w:val="pl-PL"/>
        </w:rPr>
        <w:t xml:space="preserve">mà </w:t>
      </w:r>
      <w:r w:rsidRPr="005627E5">
        <w:rPr>
          <w:rFonts w:ascii="Times New Roman" w:eastAsia="Times New Roman" w:hAnsi="Times New Roman"/>
          <w:sz w:val="28"/>
          <w:szCs w:val="28"/>
          <w:lang w:val="pl-PL"/>
        </w:rPr>
        <w:t>không làm tăng chi phí của doanh nghiệp.</w:t>
      </w:r>
    </w:p>
    <w:p w:rsidR="00B578B7" w:rsidRPr="00CA7D64" w:rsidRDefault="00B578B7" w:rsidP="0098596A">
      <w:pPr>
        <w:pStyle w:val="NormalWeb"/>
        <w:spacing w:before="60" w:beforeAutospacing="0" w:after="60" w:afterAutospacing="0" w:line="300" w:lineRule="atLeast"/>
        <w:ind w:firstLine="709"/>
        <w:jc w:val="both"/>
        <w:rPr>
          <w:iCs/>
          <w:spacing w:val="-2"/>
          <w:sz w:val="28"/>
          <w:szCs w:val="28"/>
        </w:rPr>
      </w:pPr>
      <w:r>
        <w:rPr>
          <w:rFonts w:eastAsia="Arial"/>
          <w:spacing w:val="-2"/>
          <w:sz w:val="28"/>
          <w:szCs w:val="28"/>
          <w:lang w:val="es-MX"/>
        </w:rPr>
        <w:t>Ngành Ngân hàng cũng đã t</w:t>
      </w:r>
      <w:r w:rsidRPr="001F49C3">
        <w:rPr>
          <w:rFonts w:eastAsia="Arial"/>
          <w:spacing w:val="-2"/>
          <w:sz w:val="28"/>
          <w:szCs w:val="28"/>
          <w:lang w:val="es-MX"/>
        </w:rPr>
        <w:t xml:space="preserve">riển khai </w:t>
      </w:r>
      <w:r>
        <w:rPr>
          <w:rFonts w:eastAsia="Arial"/>
          <w:spacing w:val="-2"/>
          <w:sz w:val="28"/>
          <w:szCs w:val="28"/>
          <w:lang w:val="es-MX"/>
        </w:rPr>
        <w:t xml:space="preserve">mạnh mẽ </w:t>
      </w:r>
      <w:r w:rsidRPr="001F49C3">
        <w:rPr>
          <w:rFonts w:eastAsia="Arial"/>
          <w:spacing w:val="-2"/>
          <w:sz w:val="28"/>
          <w:szCs w:val="28"/>
          <w:lang w:val="es-MX"/>
        </w:rPr>
        <w:t xml:space="preserve">các chương trình tín dụng </w:t>
      </w:r>
      <w:r>
        <w:rPr>
          <w:rFonts w:eastAsia="Arial"/>
          <w:spacing w:val="-2"/>
          <w:sz w:val="28"/>
          <w:szCs w:val="28"/>
          <w:lang w:val="es-MX"/>
        </w:rPr>
        <w:t>ưu đãi</w:t>
      </w:r>
      <w:r w:rsidRPr="001F49C3">
        <w:rPr>
          <w:rFonts w:eastAsia="Arial"/>
          <w:spacing w:val="-2"/>
          <w:sz w:val="28"/>
          <w:szCs w:val="28"/>
          <w:lang w:val="es-MX"/>
        </w:rPr>
        <w:t xml:space="preserve"> đối với </w:t>
      </w:r>
      <w:r>
        <w:rPr>
          <w:rFonts w:eastAsia="Arial"/>
          <w:spacing w:val="-2"/>
          <w:sz w:val="28"/>
          <w:szCs w:val="28"/>
          <w:lang w:val="es-MX"/>
        </w:rPr>
        <w:t xml:space="preserve">các doanh nghiệp thuộc </w:t>
      </w:r>
      <w:r w:rsidRPr="001F49C3">
        <w:rPr>
          <w:rFonts w:eastAsia="Arial"/>
          <w:spacing w:val="-2"/>
          <w:sz w:val="28"/>
          <w:szCs w:val="28"/>
          <w:lang w:val="es-MX"/>
        </w:rPr>
        <w:t>một số ngành, lĩnh vực</w:t>
      </w:r>
      <w:r>
        <w:rPr>
          <w:rFonts w:eastAsia="Arial"/>
          <w:spacing w:val="-2"/>
          <w:sz w:val="28"/>
          <w:szCs w:val="28"/>
          <w:lang w:val="es-MX"/>
        </w:rPr>
        <w:t xml:space="preserve"> đặc thù</w:t>
      </w:r>
      <w:r w:rsidRPr="001F49C3">
        <w:rPr>
          <w:rFonts w:eastAsia="Arial"/>
          <w:spacing w:val="-2"/>
          <w:sz w:val="28"/>
          <w:szCs w:val="28"/>
          <w:lang w:val="es-MX"/>
        </w:rPr>
        <w:t>, như</w:t>
      </w:r>
      <w:r w:rsidRPr="001F49C3">
        <w:rPr>
          <w:spacing w:val="-2"/>
          <w:sz w:val="28"/>
          <w:szCs w:val="28"/>
          <w:lang w:val="sv-SE"/>
        </w:rPr>
        <w:t xml:space="preserve"> cho vay phát triển nông nghiệp, nông thôn theo Nghị định số 55/NĐ-CP;</w:t>
      </w:r>
      <w:r>
        <w:rPr>
          <w:spacing w:val="-2"/>
          <w:sz w:val="28"/>
          <w:szCs w:val="28"/>
          <w:lang w:val="sv-SE"/>
        </w:rPr>
        <w:t xml:space="preserve"> </w:t>
      </w:r>
      <w:r>
        <w:rPr>
          <w:rFonts w:eastAsia="Arial"/>
          <w:spacing w:val="-2"/>
          <w:sz w:val="28"/>
          <w:szCs w:val="28"/>
          <w:lang w:val="es-MX"/>
        </w:rPr>
        <w:t>c</w:t>
      </w:r>
      <w:r w:rsidRPr="0079057A">
        <w:rPr>
          <w:rFonts w:eastAsia="Arial"/>
          <w:spacing w:val="-2"/>
          <w:sz w:val="28"/>
          <w:szCs w:val="28"/>
          <w:lang w:val="es-MX"/>
        </w:rPr>
        <w:t xml:space="preserve">hương trình cho vay khuyến khích phát triển nông nghiệp công nghệ cao, nông nghiệp sạch theo Nghị quyết số 30/NQ-CP ngày 07/3/2017 của Chính phủ; cho vay hỗ trợ ngư dân </w:t>
      </w:r>
      <w:r>
        <w:rPr>
          <w:rFonts w:eastAsia="Arial"/>
          <w:spacing w:val="-2"/>
          <w:sz w:val="28"/>
          <w:szCs w:val="28"/>
          <w:lang w:val="es-MX"/>
        </w:rPr>
        <w:t>đóng tàu</w:t>
      </w:r>
      <w:r w:rsidRPr="001F49C3">
        <w:rPr>
          <w:spacing w:val="-2"/>
          <w:sz w:val="28"/>
          <w:szCs w:val="28"/>
          <w:lang w:val="sv-SE"/>
        </w:rPr>
        <w:t xml:space="preserve"> theo Nghị định 67/2014/NĐ-CP; </w:t>
      </w:r>
      <w:r>
        <w:rPr>
          <w:spacing w:val="-2"/>
          <w:sz w:val="28"/>
          <w:szCs w:val="28"/>
          <w:lang w:val="sv-SE"/>
        </w:rPr>
        <w:t>c</w:t>
      </w:r>
      <w:r w:rsidRPr="001F49C3">
        <w:rPr>
          <w:spacing w:val="-2"/>
          <w:sz w:val="28"/>
          <w:szCs w:val="28"/>
          <w:lang w:val="sv-SE"/>
        </w:rPr>
        <w:t>ho vay tái canh cây cà phê; cho vay hỗ trợ nhà ở</w:t>
      </w:r>
      <w:r>
        <w:rPr>
          <w:spacing w:val="-2"/>
          <w:sz w:val="28"/>
          <w:szCs w:val="28"/>
          <w:lang w:val="sv-SE"/>
        </w:rPr>
        <w:t>; c</w:t>
      </w:r>
      <w:r w:rsidRPr="001F49C3">
        <w:rPr>
          <w:spacing w:val="-2"/>
          <w:sz w:val="28"/>
          <w:szCs w:val="28"/>
          <w:lang w:val="sv-SE"/>
        </w:rPr>
        <w:t>hính sách hỗ trợ khắc phục thiên tai, ngập mặn, sự cố môi trường; Hỗ trợ tháo gỡ khó khăn</w:t>
      </w:r>
      <w:r>
        <w:rPr>
          <w:spacing w:val="-2"/>
          <w:sz w:val="28"/>
          <w:szCs w:val="28"/>
          <w:lang w:val="sv-SE"/>
        </w:rPr>
        <w:t xml:space="preserve"> đối với</w:t>
      </w:r>
      <w:r w:rsidRPr="001F49C3">
        <w:rPr>
          <w:spacing w:val="-2"/>
          <w:sz w:val="28"/>
          <w:szCs w:val="28"/>
          <w:lang w:val="sv-SE"/>
        </w:rPr>
        <w:t xml:space="preserve"> ngành chăn nuôi lợn,... </w:t>
      </w:r>
    </w:p>
    <w:p w:rsidR="00B578B7" w:rsidRDefault="00B578B7" w:rsidP="0098596A">
      <w:pPr>
        <w:pStyle w:val="NormalWeb"/>
        <w:spacing w:before="60" w:beforeAutospacing="0" w:after="60" w:afterAutospacing="0" w:line="300" w:lineRule="atLeast"/>
        <w:jc w:val="both"/>
        <w:rPr>
          <w:color w:val="000000"/>
          <w:sz w:val="28"/>
          <w:szCs w:val="28"/>
          <w:shd w:val="clear" w:color="auto" w:fill="FFFFFF"/>
          <w:lang w:val="pt-BR"/>
        </w:rPr>
      </w:pPr>
      <w:r>
        <w:rPr>
          <w:iCs/>
          <w:sz w:val="28"/>
          <w:szCs w:val="28"/>
          <w:lang w:val="sv-SE"/>
        </w:rPr>
        <w:tab/>
      </w:r>
      <w:r>
        <w:rPr>
          <w:color w:val="000000"/>
          <w:sz w:val="28"/>
          <w:szCs w:val="28"/>
          <w:shd w:val="clear" w:color="auto" w:fill="FFFFFF"/>
          <w:lang w:val="pt-BR"/>
        </w:rPr>
        <w:t xml:space="preserve">Nhờ đó, hoạt động tín dụng đã đạt được những kết quả tích cực, tăng trưởng tín dụng năm 2016 đạt 18,25%. Năm 2017, tín dụng tăng trưởng tốt ngay từ đầu năm; đến cuối tháng 4/2017, tín dụng tăng 5,76% so với cuối năm 2016, </w:t>
      </w:r>
      <w:r>
        <w:rPr>
          <w:rFonts w:cstheme="majorHAnsi"/>
          <w:sz w:val="28"/>
          <w:szCs w:val="28"/>
          <w:lang w:val="es-NI"/>
        </w:rPr>
        <w:t>cao hơn so với cùng kỳ các năm gần đây</w:t>
      </w:r>
      <w:r>
        <w:rPr>
          <w:color w:val="000000"/>
          <w:sz w:val="28"/>
          <w:szCs w:val="28"/>
          <w:shd w:val="clear" w:color="auto" w:fill="FFFFFF"/>
          <w:lang w:val="pt-BR"/>
        </w:rPr>
        <w:t xml:space="preserve">; trong đó tín dụng VND tăng 5,87% và tín dụng ngoại tệ tăng 4,64%. </w:t>
      </w:r>
    </w:p>
    <w:p w:rsidR="00B578B7" w:rsidRDefault="00B578B7" w:rsidP="0098596A">
      <w:pPr>
        <w:pStyle w:val="Normal1"/>
        <w:spacing w:before="60" w:beforeAutospacing="0" w:after="60" w:afterAutospacing="0" w:line="300" w:lineRule="atLeast"/>
        <w:ind w:firstLine="709"/>
        <w:jc w:val="both"/>
        <w:rPr>
          <w:rFonts w:asciiTheme="majorHAnsi" w:hAnsiTheme="majorHAnsi" w:cstheme="majorHAnsi"/>
          <w:sz w:val="28"/>
          <w:szCs w:val="28"/>
          <w:lang w:val="it-IT"/>
        </w:rPr>
      </w:pPr>
      <w:r>
        <w:rPr>
          <w:spacing w:val="-4"/>
          <w:sz w:val="28"/>
          <w:szCs w:val="28"/>
          <w:lang w:val="pt-BR"/>
        </w:rPr>
        <w:t xml:space="preserve">Trong thời gian tới, ngành Ngân hàng sẽ tiếp tục tập trung vốn vào </w:t>
      </w:r>
      <w:r w:rsidRPr="005520B6">
        <w:rPr>
          <w:sz w:val="28"/>
          <w:szCs w:val="28"/>
        </w:rPr>
        <w:t>lĩnh vực sản xuất,</w:t>
      </w:r>
      <w:r>
        <w:rPr>
          <w:sz w:val="28"/>
          <w:szCs w:val="28"/>
          <w:lang w:val="pl-PL"/>
        </w:rPr>
        <w:t xml:space="preserve"> lĩnh vực ưu tiên, trong đó đặc biệt là các dự án hiệu quả, </w:t>
      </w:r>
      <w:r w:rsidR="00090808">
        <w:rPr>
          <w:sz w:val="28"/>
          <w:szCs w:val="28"/>
          <w:lang w:val="pl-PL"/>
        </w:rPr>
        <w:t xml:space="preserve">các doanh nghiệp, dự án đầu tư </w:t>
      </w:r>
      <w:r>
        <w:rPr>
          <w:sz w:val="28"/>
          <w:szCs w:val="28"/>
          <w:lang w:val="pl-PL"/>
        </w:rPr>
        <w:t>có chiều sâu,</w:t>
      </w:r>
      <w:r w:rsidR="00090808">
        <w:rPr>
          <w:sz w:val="28"/>
          <w:szCs w:val="28"/>
          <w:lang w:val="pl-PL"/>
        </w:rPr>
        <w:t xml:space="preserve"> ứng dụng khoa học công nghệ để sản xuất</w:t>
      </w:r>
      <w:r>
        <w:rPr>
          <w:sz w:val="28"/>
          <w:szCs w:val="28"/>
          <w:lang w:val="pl-PL"/>
        </w:rPr>
        <w:t xml:space="preserve"> các sản phẩm thương hiệu Việt Nam cạnh tranh được trong khu vực và thị trường thế giới; </w:t>
      </w:r>
      <w:r>
        <w:rPr>
          <w:rFonts w:asciiTheme="majorHAnsi" w:hAnsiTheme="majorHAnsi" w:cstheme="majorHAnsi"/>
          <w:sz w:val="28"/>
          <w:szCs w:val="28"/>
          <w:lang w:val="it-IT"/>
        </w:rPr>
        <w:t>các doanh nghiệp sản xuất theo chuỗi giá trị, ứng dụng công nghệ cao trong sản xuất nông nghiệp, sản xuất nông nghiệp sạch, các doanh nghiệp khởi nghiệp</w:t>
      </w:r>
      <w:r w:rsidR="00450C3C">
        <w:rPr>
          <w:rFonts w:asciiTheme="majorHAnsi" w:hAnsiTheme="majorHAnsi" w:cstheme="majorHAnsi"/>
          <w:sz w:val="28"/>
          <w:szCs w:val="28"/>
          <w:lang w:val="it-IT"/>
        </w:rPr>
        <w:t>, DNNVV</w:t>
      </w:r>
      <w:r>
        <w:rPr>
          <w:rFonts w:asciiTheme="majorHAnsi" w:hAnsiTheme="majorHAnsi" w:cstheme="majorHAnsi"/>
          <w:sz w:val="28"/>
          <w:szCs w:val="28"/>
          <w:lang w:val="it-IT"/>
        </w:rPr>
        <w:t xml:space="preserve">. Đồng thời, </w:t>
      </w:r>
      <w:r w:rsidR="00D416B8">
        <w:rPr>
          <w:rFonts w:asciiTheme="majorHAnsi" w:hAnsiTheme="majorHAnsi" w:cstheme="majorHAnsi"/>
          <w:sz w:val="28"/>
          <w:szCs w:val="28"/>
          <w:lang w:val="it-IT"/>
        </w:rPr>
        <w:t xml:space="preserve">NHNN sẽ </w:t>
      </w:r>
      <w:r>
        <w:rPr>
          <w:rFonts w:asciiTheme="majorHAnsi" w:hAnsiTheme="majorHAnsi" w:cstheme="majorHAnsi"/>
          <w:sz w:val="28"/>
          <w:szCs w:val="28"/>
          <w:lang w:val="it-IT"/>
        </w:rPr>
        <w:t>tiếp tục nghiên cứu, đổi mới cách thức cấp tín dụng theo hướng</w:t>
      </w:r>
      <w:r w:rsidR="00D8194C">
        <w:rPr>
          <w:rFonts w:asciiTheme="majorHAnsi" w:hAnsiTheme="majorHAnsi" w:cstheme="majorHAnsi"/>
          <w:sz w:val="28"/>
          <w:szCs w:val="28"/>
          <w:lang w:val="it-IT"/>
        </w:rPr>
        <w:t xml:space="preserve"> có sự chọn lọc ưu tiên phân loại doanh nghiệp</w:t>
      </w:r>
      <w:r>
        <w:rPr>
          <w:rFonts w:asciiTheme="majorHAnsi" w:hAnsiTheme="majorHAnsi" w:cstheme="majorHAnsi"/>
          <w:sz w:val="28"/>
          <w:szCs w:val="28"/>
          <w:lang w:val="it-IT"/>
        </w:rPr>
        <w:t xml:space="preserve"> góp phần </w:t>
      </w:r>
      <w:r w:rsidR="00D815A6">
        <w:rPr>
          <w:rFonts w:asciiTheme="majorHAnsi" w:hAnsiTheme="majorHAnsi" w:cstheme="majorHAnsi"/>
          <w:sz w:val="28"/>
          <w:szCs w:val="28"/>
          <w:lang w:val="it-IT"/>
        </w:rPr>
        <w:t xml:space="preserve">vào các chương trình </w:t>
      </w:r>
      <w:r>
        <w:rPr>
          <w:rFonts w:asciiTheme="majorHAnsi" w:hAnsiTheme="majorHAnsi" w:cstheme="majorHAnsi"/>
          <w:sz w:val="28"/>
          <w:szCs w:val="28"/>
          <w:lang w:val="it-IT"/>
        </w:rPr>
        <w:t>tái cơ cấu sản xuất.</w:t>
      </w:r>
    </w:p>
    <w:p w:rsidR="00B578B7" w:rsidRPr="000953D9" w:rsidRDefault="00B578B7" w:rsidP="0098596A">
      <w:pPr>
        <w:pStyle w:val="Normal1"/>
        <w:spacing w:before="60" w:beforeAutospacing="0" w:after="60" w:afterAutospacing="0" w:line="300" w:lineRule="atLeast"/>
        <w:ind w:firstLine="709"/>
        <w:jc w:val="both"/>
        <w:rPr>
          <w:spacing w:val="-4"/>
          <w:sz w:val="28"/>
          <w:szCs w:val="28"/>
          <w:lang w:val="pt-BR"/>
        </w:rPr>
      </w:pPr>
      <w:r>
        <w:rPr>
          <w:rFonts w:asciiTheme="majorHAnsi" w:hAnsiTheme="majorHAnsi" w:cstheme="majorHAnsi"/>
          <w:sz w:val="28"/>
          <w:szCs w:val="28"/>
          <w:lang w:val="it-IT"/>
        </w:rPr>
        <w:t xml:space="preserve">Nhu cầu vốn của doanh nghiệp còn rất lớn. Mặc dù ngành Ngân hàng đã rất tích cực huy động vốn để đảm bảo đáp ứng cho nền kinh tế, song một phần lớn nguồn lực vẫn còn chưa được khơi thông, </w:t>
      </w:r>
      <w:r w:rsidRPr="00E33629">
        <w:rPr>
          <w:sz w:val="28"/>
          <w:szCs w:val="28"/>
          <w:lang w:val="pt-BR"/>
        </w:rPr>
        <w:t>đang nằm ở các khoản nợ xấu</w:t>
      </w:r>
      <w:r w:rsidR="009F630D">
        <w:rPr>
          <w:sz w:val="28"/>
          <w:szCs w:val="28"/>
          <w:lang w:val="pt-BR"/>
        </w:rPr>
        <w:t xml:space="preserve"> và </w:t>
      </w:r>
      <w:r>
        <w:rPr>
          <w:sz w:val="28"/>
          <w:szCs w:val="28"/>
          <w:lang w:val="pt-BR"/>
        </w:rPr>
        <w:t xml:space="preserve">các tài sản bảo đảm chưa được xử lý. </w:t>
      </w:r>
      <w:r w:rsidR="00824125">
        <w:rPr>
          <w:sz w:val="28"/>
          <w:szCs w:val="28"/>
          <w:lang w:val="pt-BR"/>
        </w:rPr>
        <w:t xml:space="preserve">NHNN cũng đang trình Chính phủ, Quốc hội để sớm có Nghị quyết về xử lý nợ xấu, </w:t>
      </w:r>
      <w:r w:rsidR="008E192D">
        <w:rPr>
          <w:sz w:val="28"/>
          <w:szCs w:val="28"/>
          <w:lang w:val="pt-BR"/>
        </w:rPr>
        <w:t>giải phóng</w:t>
      </w:r>
      <w:r w:rsidR="00824125">
        <w:rPr>
          <w:sz w:val="28"/>
          <w:szCs w:val="28"/>
          <w:lang w:val="pt-BR"/>
        </w:rPr>
        <w:t xml:space="preserve"> </w:t>
      </w:r>
      <w:r w:rsidR="008E192D">
        <w:rPr>
          <w:sz w:val="28"/>
          <w:szCs w:val="28"/>
          <w:lang w:val="pt-BR"/>
        </w:rPr>
        <w:t xml:space="preserve">các </w:t>
      </w:r>
      <w:r w:rsidR="00824125">
        <w:rPr>
          <w:sz w:val="28"/>
          <w:szCs w:val="28"/>
          <w:lang w:val="pt-BR"/>
        </w:rPr>
        <w:t>khoản nợ xấu này</w:t>
      </w:r>
      <w:r w:rsidR="008E192D">
        <w:rPr>
          <w:sz w:val="28"/>
          <w:szCs w:val="28"/>
          <w:lang w:val="pt-BR"/>
        </w:rPr>
        <w:t xml:space="preserve"> nhằm</w:t>
      </w:r>
      <w:r w:rsidR="00824125">
        <w:rPr>
          <w:sz w:val="28"/>
          <w:szCs w:val="28"/>
          <w:lang w:val="pt-BR"/>
        </w:rPr>
        <w:t xml:space="preserve"> tái tạo nguồn vốn lớn </w:t>
      </w:r>
      <w:r w:rsidR="002A5848">
        <w:rPr>
          <w:sz w:val="28"/>
          <w:szCs w:val="28"/>
          <w:lang w:val="pt-BR"/>
        </w:rPr>
        <w:t xml:space="preserve">để </w:t>
      </w:r>
      <w:r>
        <w:rPr>
          <w:sz w:val="28"/>
          <w:szCs w:val="28"/>
          <w:lang w:val="pt-BR"/>
        </w:rPr>
        <w:t xml:space="preserve">mở rộng </w:t>
      </w:r>
      <w:r w:rsidRPr="00E33629">
        <w:rPr>
          <w:sz w:val="28"/>
          <w:szCs w:val="28"/>
          <w:lang w:val="pt-BR"/>
        </w:rPr>
        <w:t>cho</w:t>
      </w:r>
      <w:r>
        <w:rPr>
          <w:sz w:val="28"/>
          <w:szCs w:val="28"/>
          <w:lang w:val="pt-BR"/>
        </w:rPr>
        <w:t xml:space="preserve"> vay</w:t>
      </w:r>
      <w:r w:rsidRPr="00E33629">
        <w:rPr>
          <w:sz w:val="28"/>
          <w:szCs w:val="28"/>
          <w:lang w:val="pt-BR"/>
        </w:rPr>
        <w:t xml:space="preserve"> phát triển sản xuất kinh doanh</w:t>
      </w:r>
      <w:r>
        <w:rPr>
          <w:sz w:val="28"/>
          <w:szCs w:val="28"/>
          <w:lang w:val="pt-BR"/>
        </w:rPr>
        <w:t>, đồng thời tạo điều kiện cho các doanh nghiệp có nợ xấu đã được xử lý tiếp cận các khoản vay mới phục vụ sản xuất kinh doanh.</w:t>
      </w:r>
      <w:r w:rsidRPr="00E33629">
        <w:rPr>
          <w:sz w:val="28"/>
          <w:szCs w:val="28"/>
          <w:lang w:val="pt-BR"/>
        </w:rPr>
        <w:t xml:space="preserve"> </w:t>
      </w:r>
    </w:p>
    <w:p w:rsidR="005279E7" w:rsidRPr="003708C2" w:rsidRDefault="00B578B7" w:rsidP="0098596A">
      <w:pPr>
        <w:spacing w:before="60" w:after="60" w:line="300" w:lineRule="atLeast"/>
        <w:ind w:firstLine="720"/>
        <w:jc w:val="both"/>
        <w:rPr>
          <w:rFonts w:ascii="Times New Roman" w:eastAsia="Times New Roman" w:hAnsi="Times New Roman"/>
          <w:i/>
          <w:sz w:val="28"/>
          <w:szCs w:val="28"/>
          <w:lang w:val="pl-PL"/>
        </w:rPr>
      </w:pPr>
      <w:r>
        <w:rPr>
          <w:rFonts w:ascii="Times New Roman" w:hAnsi="Times New Roman" w:cs="Times New Roman"/>
          <w:b/>
          <w:spacing w:val="-4"/>
          <w:sz w:val="28"/>
          <w:szCs w:val="28"/>
        </w:rPr>
        <w:t>2</w:t>
      </w:r>
      <w:r w:rsidR="00D15959" w:rsidRPr="00443AF0">
        <w:rPr>
          <w:rFonts w:ascii="Times New Roman" w:hAnsi="Times New Roman" w:cs="Times New Roman"/>
          <w:b/>
          <w:spacing w:val="-4"/>
          <w:sz w:val="28"/>
          <w:szCs w:val="28"/>
        </w:rPr>
        <w:t>.</w:t>
      </w:r>
      <w:r w:rsidR="00D15959" w:rsidRPr="00443AF0">
        <w:rPr>
          <w:rFonts w:ascii="Times New Roman" w:hAnsi="Times New Roman" w:cs="Times New Roman"/>
          <w:b/>
          <w:color w:val="000000"/>
          <w:spacing w:val="-4"/>
          <w:sz w:val="28"/>
          <w:szCs w:val="28"/>
          <w:lang w:val="pl-PL"/>
        </w:rPr>
        <w:t xml:space="preserve"> </w:t>
      </w:r>
      <w:r w:rsidR="00085F63">
        <w:rPr>
          <w:rFonts w:ascii="Times New Roman" w:eastAsia="Times New Roman" w:hAnsi="Times New Roman"/>
          <w:i/>
          <w:iCs/>
          <w:sz w:val="28"/>
          <w:szCs w:val="28"/>
          <w:lang w:val="pl-PL"/>
        </w:rPr>
        <w:t>Về điều hành lãi suất</w:t>
      </w:r>
      <w:r w:rsidR="00E8315C">
        <w:rPr>
          <w:rFonts w:ascii="Times New Roman" w:eastAsia="Times New Roman" w:hAnsi="Times New Roman"/>
          <w:i/>
          <w:iCs/>
          <w:sz w:val="28"/>
          <w:szCs w:val="28"/>
          <w:lang w:val="pl-PL"/>
        </w:rPr>
        <w:t xml:space="preserve"> và mong muốn đề nghị hạ lãi suất tín dụng của doanh nghiệp</w:t>
      </w:r>
    </w:p>
    <w:p w:rsidR="00824AC0" w:rsidRPr="00710A8F" w:rsidRDefault="00EC6575" w:rsidP="0098596A">
      <w:pPr>
        <w:pStyle w:val="BodyText2"/>
        <w:spacing w:before="60" w:after="60" w:line="300" w:lineRule="atLeast"/>
        <w:ind w:firstLine="720"/>
        <w:jc w:val="both"/>
        <w:rPr>
          <w:sz w:val="28"/>
          <w:szCs w:val="28"/>
          <w:shd w:val="clear" w:color="auto" w:fill="FFFFFF"/>
          <w:lang w:val="sv-SE"/>
        </w:rPr>
      </w:pPr>
      <w:r w:rsidRPr="00EC6575">
        <w:rPr>
          <w:sz w:val="28"/>
          <w:szCs w:val="28"/>
          <w:shd w:val="clear" w:color="auto" w:fill="FFFFFF"/>
          <w:lang w:val="sv-SE"/>
        </w:rPr>
        <w:lastRenderedPageBreak/>
        <w:t xml:space="preserve">Từ năm 2016, trong bối cảnh kỳ vọng lạm phát có xu hướng tăng, cầu vốn tín dụng và phát hành trái phiếu Chính phủ tiếp tục ở mức cao, tiến độ giải ngân vốn đầu tư còn thấp tạo áp lực đến cầu vốn tín dụng, </w:t>
      </w:r>
      <w:r w:rsidR="00E9716F">
        <w:rPr>
          <w:sz w:val="28"/>
          <w:szCs w:val="28"/>
          <w:shd w:val="clear" w:color="auto" w:fill="FFFFFF"/>
          <w:lang w:val="sv-SE"/>
        </w:rPr>
        <w:t xml:space="preserve">NHNN kiên trì </w:t>
      </w:r>
      <w:r w:rsidR="00E9716F" w:rsidRPr="00167E98">
        <w:rPr>
          <w:sz w:val="28"/>
          <w:szCs w:val="28"/>
          <w:lang w:val="pt-BR"/>
        </w:rPr>
        <w:t xml:space="preserve">điều hành các giải pháp phù hợp để giữ ổn định mặt bằng lãi suất </w:t>
      </w:r>
      <w:r w:rsidR="00E83E3F">
        <w:rPr>
          <w:sz w:val="28"/>
          <w:szCs w:val="28"/>
          <w:lang w:val="pt-BR"/>
        </w:rPr>
        <w:t>huy động, giảm lãi suất cho vay</w:t>
      </w:r>
      <w:r w:rsidRPr="00EC6575">
        <w:rPr>
          <w:sz w:val="28"/>
          <w:szCs w:val="28"/>
          <w:shd w:val="clear" w:color="auto" w:fill="FFFFFF"/>
          <w:lang w:val="sv-SE"/>
        </w:rPr>
        <w:t xml:space="preserve">, qua đó hỗ trợ </w:t>
      </w:r>
      <w:r w:rsidR="00C66EF7">
        <w:rPr>
          <w:sz w:val="28"/>
          <w:szCs w:val="28"/>
          <w:shd w:val="clear" w:color="auto" w:fill="FFFFFF"/>
          <w:lang w:val="sv-SE"/>
        </w:rPr>
        <w:t>hoạt động sản xuất kinh doanh</w:t>
      </w:r>
      <w:r w:rsidR="001D6221">
        <w:rPr>
          <w:sz w:val="28"/>
          <w:szCs w:val="28"/>
          <w:shd w:val="clear" w:color="auto" w:fill="FFFFFF"/>
          <w:lang w:val="sv-SE"/>
        </w:rPr>
        <w:t xml:space="preserve"> của doanh nghiệp nhưng</w:t>
      </w:r>
      <w:r w:rsidRPr="00EC6575">
        <w:rPr>
          <w:sz w:val="28"/>
          <w:szCs w:val="28"/>
          <w:shd w:val="clear" w:color="auto" w:fill="FFFFFF"/>
          <w:lang w:val="sv-SE"/>
        </w:rPr>
        <w:t xml:space="preserve"> đồng thời vẫn đảm bảo mục tiêu kiểm soát lạm phát, ổn định thị trường tiền tệ, ngoại hối. Mặt bằng lãi suất huy động và cho vay diễn biến ổn định từ năm 2016 đến nay, đặc biệt từ cuối tháng 9/2016, một số TCTD đã giảm 0,3-0,5%/năm lãi suất huy động, giảm 0,5-1%/năm lãi suất cho vay đối với SXKD, lĩnh vực ưu tiên. </w:t>
      </w:r>
      <w:r w:rsidR="006822EF">
        <w:rPr>
          <w:sz w:val="28"/>
          <w:szCs w:val="28"/>
          <w:lang w:val="pt-BR"/>
        </w:rPr>
        <w:t xml:space="preserve">Như vậy, mặt bằng lãi suất </w:t>
      </w:r>
      <w:r w:rsidR="00824AC0">
        <w:rPr>
          <w:sz w:val="28"/>
          <w:szCs w:val="28"/>
          <w:lang w:val="pt-BR"/>
        </w:rPr>
        <w:t xml:space="preserve">hiện nay đã giảm mạnh (chỉ bằng 40% lãi suất </w:t>
      </w:r>
      <w:r w:rsidR="00824AC0" w:rsidRPr="00710A8F">
        <w:rPr>
          <w:sz w:val="28"/>
          <w:szCs w:val="28"/>
          <w:shd w:val="clear" w:color="auto" w:fill="FFFFFF"/>
          <w:lang w:val="sv-SE"/>
        </w:rPr>
        <w:t>cuối năm 2011)</w:t>
      </w:r>
      <w:r w:rsidR="00710A8F">
        <w:rPr>
          <w:sz w:val="28"/>
          <w:szCs w:val="28"/>
          <w:shd w:val="clear" w:color="auto" w:fill="FFFFFF"/>
          <w:lang w:val="sv-SE"/>
        </w:rPr>
        <w:t>,</w:t>
      </w:r>
      <w:r w:rsidR="00824AC0" w:rsidRPr="00710A8F">
        <w:rPr>
          <w:sz w:val="28"/>
          <w:szCs w:val="28"/>
          <w:shd w:val="clear" w:color="auto" w:fill="FFFFFF"/>
          <w:lang w:val="sv-SE"/>
        </w:rPr>
        <w:t xml:space="preserve"> phù hợp với mục tiêu điều hành, diễn biến tiền </w:t>
      </w:r>
      <w:r w:rsidR="00942385" w:rsidRPr="00710A8F">
        <w:rPr>
          <w:sz w:val="28"/>
          <w:szCs w:val="28"/>
          <w:shd w:val="clear" w:color="auto" w:fill="FFFFFF"/>
          <w:lang w:val="sv-SE"/>
        </w:rPr>
        <w:t>tệ và</w:t>
      </w:r>
      <w:r w:rsidR="00710A8F" w:rsidRPr="00710A8F">
        <w:rPr>
          <w:sz w:val="28"/>
          <w:szCs w:val="28"/>
          <w:shd w:val="clear" w:color="auto" w:fill="FFFFFF"/>
          <w:lang w:val="sv-SE"/>
        </w:rPr>
        <w:t xml:space="preserve"> lạm phát, </w:t>
      </w:r>
      <w:r w:rsidR="000D3EDF">
        <w:rPr>
          <w:sz w:val="28"/>
          <w:szCs w:val="28"/>
          <w:shd w:val="clear" w:color="auto" w:fill="FFFFFF"/>
          <w:lang w:val="sv-SE"/>
        </w:rPr>
        <w:t xml:space="preserve">đồng thời </w:t>
      </w:r>
      <w:r w:rsidR="00710A8F" w:rsidRPr="00710A8F">
        <w:rPr>
          <w:sz w:val="28"/>
          <w:szCs w:val="28"/>
          <w:shd w:val="clear" w:color="auto" w:fill="FFFFFF"/>
          <w:lang w:val="sv-SE"/>
        </w:rPr>
        <w:t>đảm bảo hài hòa lợi ích của người gửi tiền - TCTD và khách hàng vay.</w:t>
      </w:r>
    </w:p>
    <w:p w:rsidR="00824AC0" w:rsidRPr="00ED0F1C" w:rsidRDefault="00824AC0" w:rsidP="0098596A">
      <w:pPr>
        <w:pStyle w:val="Normal1"/>
        <w:spacing w:before="60" w:beforeAutospacing="0" w:after="60" w:afterAutospacing="0" w:line="300" w:lineRule="atLeast"/>
        <w:ind w:firstLine="709"/>
        <w:jc w:val="both"/>
        <w:rPr>
          <w:sz w:val="28"/>
          <w:szCs w:val="28"/>
          <w:lang w:val="pt-BR"/>
        </w:rPr>
      </w:pPr>
      <w:r>
        <w:rPr>
          <w:sz w:val="28"/>
          <w:szCs w:val="28"/>
          <w:lang w:val="pt-BR"/>
        </w:rPr>
        <w:t>Một số</w:t>
      </w:r>
      <w:r w:rsidRPr="004562A9">
        <w:rPr>
          <w:sz w:val="28"/>
          <w:szCs w:val="28"/>
          <w:lang w:val="pt-BR"/>
        </w:rPr>
        <w:t xml:space="preserve"> nước trong khu vực</w:t>
      </w:r>
      <w:r>
        <w:rPr>
          <w:sz w:val="28"/>
          <w:szCs w:val="28"/>
          <w:lang w:val="pt-BR"/>
        </w:rPr>
        <w:t xml:space="preserve"> (như Nhật Bản, Trung Quốc)</w:t>
      </w:r>
      <w:r w:rsidRPr="004562A9">
        <w:rPr>
          <w:sz w:val="28"/>
          <w:szCs w:val="28"/>
          <w:lang w:val="pt-BR"/>
        </w:rPr>
        <w:t xml:space="preserve"> có lãi suất cho vay thấp là vì: </w:t>
      </w:r>
      <w:r w:rsidRPr="004562A9">
        <w:rPr>
          <w:i/>
          <w:sz w:val="28"/>
          <w:szCs w:val="28"/>
          <w:lang w:val="pt-BR"/>
        </w:rPr>
        <w:t>(i)</w:t>
      </w:r>
      <w:r w:rsidRPr="004562A9">
        <w:rPr>
          <w:sz w:val="28"/>
          <w:szCs w:val="28"/>
          <w:lang w:val="pt-BR"/>
        </w:rPr>
        <w:t xml:space="preserve"> Lạm phát được kiềm chế ở mức thấp, kinh tế vĩ mô ổn định; </w:t>
      </w:r>
      <w:r w:rsidRPr="004562A9">
        <w:rPr>
          <w:i/>
          <w:sz w:val="28"/>
          <w:szCs w:val="28"/>
          <w:lang w:val="pt-BR"/>
        </w:rPr>
        <w:t>(ii)</w:t>
      </w:r>
      <w:r w:rsidRPr="004562A9">
        <w:rPr>
          <w:sz w:val="28"/>
          <w:szCs w:val="28"/>
          <w:lang w:val="pt-BR"/>
        </w:rPr>
        <w:t xml:space="preserve"> Khả năng dự báo và hoạch định kế hoạch sản xuất, kinh doanh của doanh nghiệp cao; </w:t>
      </w:r>
      <w:r w:rsidRPr="004562A9">
        <w:rPr>
          <w:i/>
          <w:sz w:val="28"/>
          <w:szCs w:val="28"/>
          <w:lang w:val="pt-BR"/>
        </w:rPr>
        <w:t>(iii)</w:t>
      </w:r>
      <w:r w:rsidRPr="004562A9">
        <w:rPr>
          <w:sz w:val="28"/>
          <w:szCs w:val="28"/>
          <w:lang w:val="pt-BR"/>
        </w:rPr>
        <w:t xml:space="preserve"> Hoạt động SXKD của doanh nghiệp không quá phụ thuộc vào tín dụng ngân hàng.</w:t>
      </w:r>
      <w:r>
        <w:rPr>
          <w:sz w:val="28"/>
          <w:szCs w:val="28"/>
          <w:lang w:val="pt-BR"/>
        </w:rPr>
        <w:t xml:space="preserve"> Trong khi đó, </w:t>
      </w:r>
      <w:r w:rsidRPr="00C36610">
        <w:rPr>
          <w:sz w:val="28"/>
          <w:szCs w:val="28"/>
          <w:lang w:val="pt-BR"/>
        </w:rPr>
        <w:t xml:space="preserve">Việt Nam là nước đang phát triển, </w:t>
      </w:r>
      <w:r>
        <w:rPr>
          <w:sz w:val="28"/>
          <w:szCs w:val="28"/>
          <w:lang w:val="pt-BR"/>
        </w:rPr>
        <w:t xml:space="preserve">nhu cầu vốn cho sản xuất kinh doanh và phát triển kinh tế xã hội của tất cả các khu vực kinh tế đều ở mức cao, </w:t>
      </w:r>
      <w:r w:rsidRPr="00C36610">
        <w:rPr>
          <w:sz w:val="28"/>
          <w:szCs w:val="28"/>
          <w:lang w:val="pt-BR"/>
        </w:rPr>
        <w:t>kinh tế vĩ mô về cơ bản ổn định nhưng các cân đối lớn của nền kinh tế chưa thực sự bền vững, kỳ vọng lạm phát còn cao và dễ biến động, xử lý nợ xấu gặp nhiều khó khăn, đồng thời thị trường chứng khoán và thị trường trái phiếu chưa phát triển đồng bộ dẫn tới nhu cầu vốn của doanh nghiệp cũng như vốn đầu tư cho phát triển kinh tế phụ thuộc lớn vào hệ thố</w:t>
      </w:r>
      <w:r>
        <w:rPr>
          <w:sz w:val="28"/>
          <w:szCs w:val="28"/>
          <w:lang w:val="pt-BR"/>
        </w:rPr>
        <w:t>ng ngân hàng,... C</w:t>
      </w:r>
      <w:r w:rsidRPr="00C36610">
        <w:rPr>
          <w:sz w:val="28"/>
          <w:szCs w:val="28"/>
          <w:lang w:val="pt-BR"/>
        </w:rPr>
        <w:t>ác yếu tố này đã ảnh hưởng đến mặt bằng lãi suất cho vay của TCTD.</w:t>
      </w:r>
      <w:r>
        <w:rPr>
          <w:sz w:val="28"/>
          <w:szCs w:val="28"/>
          <w:lang w:val="pt-BR"/>
        </w:rPr>
        <w:t xml:space="preserve"> Tuy nhiên, s</w:t>
      </w:r>
      <w:r w:rsidRPr="00881344">
        <w:rPr>
          <w:sz w:val="28"/>
          <w:szCs w:val="28"/>
          <w:lang w:val="pt-BR"/>
        </w:rPr>
        <w:t xml:space="preserve">o sánh số liệu </w:t>
      </w:r>
      <w:r>
        <w:rPr>
          <w:sz w:val="28"/>
          <w:szCs w:val="28"/>
          <w:lang w:val="pt-BR"/>
        </w:rPr>
        <w:t>với một số</w:t>
      </w:r>
      <w:r w:rsidRPr="00881344">
        <w:rPr>
          <w:sz w:val="28"/>
          <w:szCs w:val="28"/>
          <w:lang w:val="pt-BR"/>
        </w:rPr>
        <w:t xml:space="preserve"> nước trong khu vực</w:t>
      </w:r>
      <w:r>
        <w:rPr>
          <w:sz w:val="28"/>
          <w:szCs w:val="28"/>
          <w:lang w:val="pt-BR"/>
        </w:rPr>
        <w:t xml:space="preserve"> như</w:t>
      </w:r>
      <w:r w:rsidRPr="00881344">
        <w:rPr>
          <w:sz w:val="28"/>
          <w:szCs w:val="28"/>
          <w:lang w:val="pt-BR"/>
        </w:rPr>
        <w:t xml:space="preserve"> Myanmar</w:t>
      </w:r>
      <w:r>
        <w:rPr>
          <w:sz w:val="28"/>
          <w:szCs w:val="28"/>
          <w:lang w:val="pt-BR"/>
        </w:rPr>
        <w:t>, lãi suất cho vay</w:t>
      </w:r>
      <w:r w:rsidRPr="00881344">
        <w:rPr>
          <w:sz w:val="28"/>
          <w:szCs w:val="28"/>
          <w:lang w:val="pt-BR"/>
        </w:rPr>
        <w:t xml:space="preserve"> ở mức 13%/năm, Indonesia là 11,9%/năm, Thái Lan là 6,3%/năm, Singapore là 5,4%/năm</w:t>
      </w:r>
      <w:r>
        <w:rPr>
          <w:sz w:val="28"/>
          <w:szCs w:val="28"/>
          <w:lang w:val="pt-BR"/>
        </w:rPr>
        <w:t xml:space="preserve"> thì</w:t>
      </w:r>
      <w:r w:rsidRPr="00881344">
        <w:rPr>
          <w:sz w:val="28"/>
          <w:szCs w:val="28"/>
          <w:lang w:val="pt-BR"/>
        </w:rPr>
        <w:t xml:space="preserve"> mặt bằng lãi suất cho vay</w:t>
      </w:r>
      <w:r w:rsidR="00FA450E">
        <w:rPr>
          <w:sz w:val="28"/>
          <w:szCs w:val="28"/>
          <w:lang w:val="pt-BR"/>
        </w:rPr>
        <w:t xml:space="preserve"> bằng VND</w:t>
      </w:r>
      <w:r w:rsidRPr="00881344">
        <w:rPr>
          <w:sz w:val="28"/>
          <w:szCs w:val="28"/>
          <w:lang w:val="pt-BR"/>
        </w:rPr>
        <w:t xml:space="preserve"> của Việt Nam hiện nay khoảng 6-11%/năm</w:t>
      </w:r>
      <w:r w:rsidR="00B32607">
        <w:rPr>
          <w:sz w:val="28"/>
          <w:szCs w:val="28"/>
          <w:lang w:val="pt-BR"/>
        </w:rPr>
        <w:t>,</w:t>
      </w:r>
      <w:r w:rsidRPr="00881344">
        <w:rPr>
          <w:sz w:val="28"/>
          <w:szCs w:val="28"/>
          <w:lang w:val="pt-BR"/>
        </w:rPr>
        <w:t xml:space="preserve"> </w:t>
      </w:r>
      <w:r w:rsidR="00B32607">
        <w:rPr>
          <w:sz w:val="28"/>
          <w:szCs w:val="28"/>
          <w:lang w:val="pt-BR"/>
        </w:rPr>
        <w:t>lãi suất cho vay bằng ngoại tệ trong khoảng 3-4%</w:t>
      </w:r>
      <w:r w:rsidR="00B32607">
        <w:rPr>
          <w:sz w:val="28"/>
          <w:szCs w:val="28"/>
          <w:lang w:val="pt-BR"/>
        </w:rPr>
        <w:t xml:space="preserve"> </w:t>
      </w:r>
      <w:r w:rsidRPr="00881344">
        <w:rPr>
          <w:sz w:val="28"/>
          <w:szCs w:val="28"/>
          <w:lang w:val="pt-BR"/>
        </w:rPr>
        <w:t>vẫn ở mức tương đối hợp lý</w:t>
      </w:r>
      <w:r>
        <w:rPr>
          <w:sz w:val="28"/>
          <w:szCs w:val="28"/>
          <w:lang w:val="pt-BR"/>
        </w:rPr>
        <w:t xml:space="preserve"> với tương quan kinh tế vĩ mô</w:t>
      </w:r>
      <w:r w:rsidR="00B32607">
        <w:rPr>
          <w:sz w:val="28"/>
          <w:szCs w:val="28"/>
          <w:lang w:val="pt-BR"/>
        </w:rPr>
        <w:t>.</w:t>
      </w:r>
    </w:p>
    <w:p w:rsidR="00824AC0" w:rsidRDefault="00824AC0" w:rsidP="0098596A">
      <w:pPr>
        <w:pStyle w:val="Normal1"/>
        <w:spacing w:before="60" w:beforeAutospacing="0" w:after="60" w:afterAutospacing="0" w:line="300" w:lineRule="atLeast"/>
        <w:ind w:firstLine="709"/>
        <w:jc w:val="both"/>
        <w:rPr>
          <w:sz w:val="28"/>
          <w:szCs w:val="28"/>
          <w:lang w:val="pt-BR"/>
        </w:rPr>
      </w:pPr>
      <w:r>
        <w:rPr>
          <w:sz w:val="28"/>
          <w:szCs w:val="28"/>
          <w:lang w:val="pt-BR"/>
        </w:rPr>
        <w:t xml:space="preserve">Tại Nghị quyết số 24/2016/QH14 của Quốc hội ngày 8/11/2016 đã chỉ đạo giao ngành Ngân hàng phấn đấu đến năm 2020 giảm lãi suất cho vay trung bình trong nước có tính cạnh tranh so với mức lãi suất cho vay trung bình trong nhóm ASEAN-4. </w:t>
      </w:r>
      <w:r w:rsidR="00A243F0">
        <w:rPr>
          <w:sz w:val="28"/>
          <w:szCs w:val="28"/>
          <w:lang w:val="pt-BR"/>
        </w:rPr>
        <w:t>T</w:t>
      </w:r>
      <w:r w:rsidRPr="00734F29">
        <w:rPr>
          <w:sz w:val="28"/>
          <w:szCs w:val="28"/>
          <w:lang w:val="pt-BR"/>
        </w:rPr>
        <w:t>hời gian tới, NHNN sẽ tiếp tục bám sát diễn biến</w:t>
      </w:r>
      <w:r w:rsidR="00ED7D50">
        <w:rPr>
          <w:sz w:val="28"/>
          <w:szCs w:val="28"/>
          <w:lang w:val="pt-BR"/>
        </w:rPr>
        <w:t xml:space="preserve"> kinh tế</w:t>
      </w:r>
      <w:r w:rsidRPr="00734F29">
        <w:rPr>
          <w:sz w:val="28"/>
          <w:szCs w:val="28"/>
          <w:lang w:val="pt-BR"/>
        </w:rPr>
        <w:t xml:space="preserve"> vĩ mô, tiền </w:t>
      </w:r>
      <w:r w:rsidR="005E7DA7">
        <w:rPr>
          <w:sz w:val="28"/>
          <w:szCs w:val="28"/>
          <w:lang w:val="pt-BR"/>
        </w:rPr>
        <w:t>tệ để điều hành</w:t>
      </w:r>
      <w:r w:rsidRPr="00734F29">
        <w:rPr>
          <w:sz w:val="28"/>
          <w:szCs w:val="28"/>
          <w:lang w:val="pt-BR"/>
        </w:rPr>
        <w:t xml:space="preserve"> lãi suất</w:t>
      </w:r>
      <w:r w:rsidR="005E7DA7">
        <w:rPr>
          <w:sz w:val="28"/>
          <w:szCs w:val="28"/>
          <w:lang w:val="pt-BR"/>
        </w:rPr>
        <w:t xml:space="preserve"> ổn định</w:t>
      </w:r>
      <w:r w:rsidR="00ED7D50">
        <w:rPr>
          <w:sz w:val="28"/>
          <w:szCs w:val="28"/>
          <w:lang w:val="pt-BR"/>
        </w:rPr>
        <w:t>, phù hợp với mục tiêu kiểm soát lạm phát</w:t>
      </w:r>
      <w:r w:rsidR="00EE7F23">
        <w:rPr>
          <w:sz w:val="28"/>
          <w:szCs w:val="28"/>
          <w:lang w:val="pt-BR"/>
        </w:rPr>
        <w:t xml:space="preserve">; tiếp tục chỉ đạo các TCTD tiết giảm chi phí, nâng cao hiệu quả sản xuất kinh doanh để có điều kiện giảm lãi suất cho vay; </w:t>
      </w:r>
      <w:r w:rsidR="00A851F1">
        <w:rPr>
          <w:sz w:val="28"/>
          <w:szCs w:val="28"/>
          <w:lang w:val="pt-BR"/>
        </w:rPr>
        <w:t xml:space="preserve">đặc biệt quan tâm đến lãi suất ưu đãi </w:t>
      </w:r>
      <w:r w:rsidR="00EE7F23">
        <w:rPr>
          <w:sz w:val="28"/>
          <w:szCs w:val="28"/>
          <w:lang w:val="pt-BR"/>
        </w:rPr>
        <w:t xml:space="preserve">đối với </w:t>
      </w:r>
      <w:r w:rsidR="00ED7D50">
        <w:rPr>
          <w:sz w:val="28"/>
          <w:szCs w:val="28"/>
          <w:lang w:val="pt-BR"/>
        </w:rPr>
        <w:t>các doanh nghiệp</w:t>
      </w:r>
      <w:r w:rsidR="00A851F1" w:rsidRPr="00A851F1">
        <w:rPr>
          <w:sz w:val="28"/>
          <w:szCs w:val="28"/>
          <w:lang w:val="pt-BR"/>
        </w:rPr>
        <w:t xml:space="preserve"> </w:t>
      </w:r>
      <w:r w:rsidR="00A851F1">
        <w:rPr>
          <w:sz w:val="28"/>
          <w:szCs w:val="28"/>
          <w:lang w:val="pt-BR"/>
        </w:rPr>
        <w:t>thuộc lĩnh vực ưu tiên</w:t>
      </w:r>
      <w:r w:rsidR="00ED7D50">
        <w:rPr>
          <w:sz w:val="28"/>
          <w:szCs w:val="28"/>
          <w:lang w:val="pt-BR"/>
        </w:rPr>
        <w:t>, DNNVV, doanh nghiệp khởi nghiệp</w:t>
      </w:r>
      <w:r w:rsidR="009806AF">
        <w:rPr>
          <w:sz w:val="28"/>
          <w:szCs w:val="28"/>
          <w:lang w:val="pt-BR"/>
        </w:rPr>
        <w:t>, doanh nghiệp đầu tư ứng dụng khoa học công nghệ cao, doanh nghiệp</w:t>
      </w:r>
      <w:r w:rsidR="00ED7D50">
        <w:rPr>
          <w:sz w:val="28"/>
          <w:szCs w:val="28"/>
          <w:lang w:val="pt-BR"/>
        </w:rPr>
        <w:t xml:space="preserve"> hoạt động hiệu quả, </w:t>
      </w:r>
      <w:r w:rsidR="00A964FF">
        <w:rPr>
          <w:sz w:val="28"/>
          <w:szCs w:val="28"/>
          <w:lang w:val="pt-BR"/>
        </w:rPr>
        <w:t>có sản phẩm cạnh tranh</w:t>
      </w:r>
      <w:r w:rsidR="006E2FBF">
        <w:rPr>
          <w:sz w:val="28"/>
          <w:szCs w:val="28"/>
          <w:lang w:val="pt-BR"/>
        </w:rPr>
        <w:t xml:space="preserve"> được trên thị trường quốc tế.</w:t>
      </w:r>
    </w:p>
    <w:p w:rsidR="00B150EE" w:rsidRPr="00B150EE" w:rsidRDefault="000B2F2F" w:rsidP="0098596A">
      <w:pPr>
        <w:pStyle w:val="BodyText2"/>
        <w:spacing w:before="60" w:after="60" w:line="300" w:lineRule="atLeast"/>
        <w:ind w:firstLine="720"/>
        <w:jc w:val="both"/>
        <w:rPr>
          <w:spacing w:val="-4"/>
          <w:sz w:val="28"/>
          <w:szCs w:val="28"/>
          <w:lang w:val="pl-PL"/>
        </w:rPr>
      </w:pPr>
      <w:r>
        <w:rPr>
          <w:b/>
          <w:spacing w:val="-4"/>
          <w:sz w:val="28"/>
          <w:szCs w:val="28"/>
          <w:lang w:val="pl-PL"/>
        </w:rPr>
        <w:t>3</w:t>
      </w:r>
      <w:r w:rsidR="00461CF7" w:rsidRPr="00435D55">
        <w:rPr>
          <w:b/>
          <w:spacing w:val="-4"/>
          <w:sz w:val="28"/>
          <w:szCs w:val="28"/>
          <w:lang w:val="pl-PL"/>
        </w:rPr>
        <w:t>.</w:t>
      </w:r>
      <w:r w:rsidR="00B150EE" w:rsidRPr="00B967F8">
        <w:rPr>
          <w:spacing w:val="-4"/>
          <w:sz w:val="28"/>
          <w:szCs w:val="28"/>
          <w:lang w:val="pl-PL"/>
        </w:rPr>
        <w:t xml:space="preserve"> </w:t>
      </w:r>
      <w:r w:rsidR="00A955D3">
        <w:rPr>
          <w:i/>
          <w:spacing w:val="-4"/>
          <w:sz w:val="28"/>
          <w:szCs w:val="28"/>
          <w:lang w:val="pl-PL"/>
        </w:rPr>
        <w:t>Về đ</w:t>
      </w:r>
      <w:r w:rsidR="00B150EE" w:rsidRPr="00435D55">
        <w:rPr>
          <w:i/>
          <w:spacing w:val="-4"/>
          <w:sz w:val="28"/>
          <w:szCs w:val="28"/>
          <w:lang w:val="pl-PL"/>
        </w:rPr>
        <w:t xml:space="preserve">iều hành tỷ giá </w:t>
      </w:r>
    </w:p>
    <w:p w:rsidR="00EF6584" w:rsidRDefault="00EF6584" w:rsidP="0098596A">
      <w:pPr>
        <w:pStyle w:val="BodyText2"/>
        <w:spacing w:before="60" w:after="60" w:line="300" w:lineRule="atLeast"/>
        <w:ind w:firstLine="720"/>
        <w:jc w:val="both"/>
        <w:rPr>
          <w:spacing w:val="-4"/>
          <w:sz w:val="28"/>
          <w:szCs w:val="28"/>
          <w:lang w:val="pl-PL"/>
        </w:rPr>
      </w:pPr>
      <w:r w:rsidRPr="007A1551">
        <w:rPr>
          <w:rStyle w:val="normalchar"/>
          <w:color w:val="000000"/>
          <w:sz w:val="28"/>
          <w:szCs w:val="28"/>
          <w:lang w:val="it-IT"/>
        </w:rPr>
        <w:t xml:space="preserve">Trong công tác điều hành tỷ giá, NHNN luôn thận trọng do những thay đổi của tỷ giá có thể gây các tác động khác nhau đến nhiều mặt của nền kinh tế như lạm phát, sự ổn định kinh tế vĩ mô, </w:t>
      </w:r>
      <w:r w:rsidR="00777A81">
        <w:rPr>
          <w:rStyle w:val="normalchar"/>
          <w:color w:val="000000"/>
          <w:sz w:val="28"/>
          <w:szCs w:val="28"/>
          <w:lang w:val="it-IT"/>
        </w:rPr>
        <w:t xml:space="preserve">vay và trả </w:t>
      </w:r>
      <w:r w:rsidRPr="007A1551">
        <w:rPr>
          <w:rStyle w:val="normalchar"/>
          <w:color w:val="000000"/>
          <w:sz w:val="28"/>
          <w:szCs w:val="28"/>
          <w:lang w:val="it-IT"/>
        </w:rPr>
        <w:t xml:space="preserve">nợ nước ngoài, niềm tin vào giá trị </w:t>
      </w:r>
      <w:r w:rsidR="008F08B5">
        <w:rPr>
          <w:rStyle w:val="normalchar"/>
          <w:color w:val="000000"/>
          <w:sz w:val="28"/>
          <w:szCs w:val="28"/>
          <w:lang w:val="it-IT"/>
        </w:rPr>
        <w:t>đồng Việt Nam</w:t>
      </w:r>
      <w:r w:rsidRPr="007A1551">
        <w:rPr>
          <w:rStyle w:val="normalchar"/>
          <w:color w:val="000000"/>
          <w:sz w:val="28"/>
          <w:szCs w:val="28"/>
          <w:lang w:val="it-IT"/>
        </w:rPr>
        <w:t>, hoạt động của doanh nghiệp xuất khẩu, doanh nghiệp nhập khẩu.</w:t>
      </w:r>
    </w:p>
    <w:p w:rsidR="00B967F8" w:rsidRDefault="00B150EE" w:rsidP="0098596A">
      <w:pPr>
        <w:pStyle w:val="BodyText2"/>
        <w:spacing w:before="60" w:after="60" w:line="300" w:lineRule="atLeast"/>
        <w:ind w:firstLine="720"/>
        <w:jc w:val="both"/>
        <w:rPr>
          <w:spacing w:val="-4"/>
          <w:sz w:val="28"/>
          <w:szCs w:val="28"/>
          <w:lang w:val="pl-PL"/>
        </w:rPr>
      </w:pPr>
      <w:r w:rsidRPr="00B150EE">
        <w:rPr>
          <w:spacing w:val="-4"/>
          <w:sz w:val="28"/>
          <w:szCs w:val="28"/>
          <w:lang w:val="pl-PL"/>
        </w:rPr>
        <w:t>Năm 2016</w:t>
      </w:r>
      <w:r w:rsidR="00646766">
        <w:rPr>
          <w:spacing w:val="-4"/>
          <w:sz w:val="28"/>
          <w:szCs w:val="28"/>
          <w:lang w:val="pl-PL"/>
        </w:rPr>
        <w:t xml:space="preserve"> và những tháng đầu năm 2017, </w:t>
      </w:r>
      <w:r w:rsidR="009F03F1">
        <w:rPr>
          <w:sz w:val="28"/>
          <w:szCs w:val="28"/>
        </w:rPr>
        <w:t xml:space="preserve">điều hành tỷ giá </w:t>
      </w:r>
      <w:r w:rsidR="00646766">
        <w:rPr>
          <w:sz w:val="28"/>
          <w:szCs w:val="28"/>
        </w:rPr>
        <w:t>gặp nhiều khó khăn do các biến động</w:t>
      </w:r>
      <w:r w:rsidR="00404A9E">
        <w:rPr>
          <w:sz w:val="28"/>
          <w:szCs w:val="28"/>
        </w:rPr>
        <w:t xml:space="preserve"> mạnh</w:t>
      </w:r>
      <w:r w:rsidR="00646766">
        <w:rPr>
          <w:sz w:val="28"/>
          <w:szCs w:val="28"/>
        </w:rPr>
        <w:t xml:space="preserve"> trên thị trườ</w:t>
      </w:r>
      <w:r w:rsidR="0026495B">
        <w:rPr>
          <w:sz w:val="28"/>
          <w:szCs w:val="28"/>
        </w:rPr>
        <w:t xml:space="preserve">ng tài chính quốc tế sau </w:t>
      </w:r>
      <w:r w:rsidR="00646766">
        <w:rPr>
          <w:sz w:val="28"/>
          <w:szCs w:val="28"/>
        </w:rPr>
        <w:t xml:space="preserve">sự kiện Brexit, </w:t>
      </w:r>
      <w:r w:rsidR="00646766">
        <w:rPr>
          <w:sz w:val="28"/>
          <w:szCs w:val="28"/>
        </w:rPr>
        <w:lastRenderedPageBreak/>
        <w:t xml:space="preserve">bầu cử Tổng thống Mỹ và các chính sách mới của Donald Trump mới đắc cử, Fed tăng lãi suất. Trong nước, </w:t>
      </w:r>
      <w:r w:rsidR="009F03F1">
        <w:rPr>
          <w:sz w:val="28"/>
          <w:szCs w:val="28"/>
        </w:rPr>
        <w:t>cung-cầu ngoại tệ kém thuận lợi,</w:t>
      </w:r>
      <w:r w:rsidR="00470CDD">
        <w:rPr>
          <w:sz w:val="28"/>
          <w:szCs w:val="28"/>
        </w:rPr>
        <w:t xml:space="preserve"> nhập siêu lớn,</w:t>
      </w:r>
      <w:r w:rsidR="009F03F1">
        <w:rPr>
          <w:sz w:val="28"/>
          <w:szCs w:val="28"/>
        </w:rPr>
        <w:t xml:space="preserve"> xu hướng đồng USD tăng giá trên thị trường quốc tế kéo theo các yếu tố đầu cơ, kỳ vọng gia tăng. </w:t>
      </w:r>
      <w:r w:rsidR="00470CDD">
        <w:rPr>
          <w:sz w:val="28"/>
          <w:szCs w:val="28"/>
        </w:rPr>
        <w:t xml:space="preserve">Tuy nhiên, </w:t>
      </w:r>
      <w:r w:rsidRPr="00B150EE">
        <w:rPr>
          <w:spacing w:val="-4"/>
          <w:sz w:val="28"/>
          <w:szCs w:val="28"/>
          <w:lang w:val="pl-PL"/>
        </w:rPr>
        <w:t xml:space="preserve">với việc chuyển sang cách thức điều hành tỷ giá trung tâm linh hoạt, có kết hợp đồng bộ với các công cụ CSTT khác, tỷ giá VND/USD </w:t>
      </w:r>
      <w:r w:rsidR="007B0C6E">
        <w:rPr>
          <w:spacing w:val="-4"/>
          <w:sz w:val="28"/>
          <w:szCs w:val="28"/>
          <w:lang w:val="pl-PL"/>
        </w:rPr>
        <w:t xml:space="preserve">chỉ </w:t>
      </w:r>
      <w:r w:rsidRPr="00B150EE">
        <w:rPr>
          <w:spacing w:val="-4"/>
          <w:sz w:val="28"/>
          <w:szCs w:val="28"/>
          <w:lang w:val="pl-PL"/>
        </w:rPr>
        <w:t>tă</w:t>
      </w:r>
      <w:r w:rsidR="00EF6584">
        <w:rPr>
          <w:spacing w:val="-4"/>
          <w:sz w:val="28"/>
          <w:szCs w:val="28"/>
          <w:lang w:val="pl-PL"/>
        </w:rPr>
        <w:t>ng</w:t>
      </w:r>
      <w:r w:rsidR="000759FD">
        <w:rPr>
          <w:spacing w:val="-4"/>
          <w:sz w:val="28"/>
          <w:szCs w:val="28"/>
          <w:lang w:val="pl-PL"/>
        </w:rPr>
        <w:t xml:space="preserve"> bình quân</w:t>
      </w:r>
      <w:r w:rsidR="00EF6584">
        <w:rPr>
          <w:spacing w:val="-4"/>
          <w:sz w:val="28"/>
          <w:szCs w:val="28"/>
          <w:lang w:val="pl-PL"/>
        </w:rPr>
        <w:t xml:space="preserve"> khoảng 1,1-1,2%</w:t>
      </w:r>
      <w:r w:rsidR="00A766F3">
        <w:rPr>
          <w:spacing w:val="-4"/>
          <w:sz w:val="28"/>
          <w:szCs w:val="28"/>
          <w:lang w:val="pl-PL"/>
        </w:rPr>
        <w:t>,</w:t>
      </w:r>
      <w:r w:rsidR="00EF6584">
        <w:rPr>
          <w:spacing w:val="-4"/>
          <w:sz w:val="28"/>
          <w:szCs w:val="28"/>
          <w:lang w:val="pl-PL"/>
        </w:rPr>
        <w:t xml:space="preserve"> </w:t>
      </w:r>
      <w:r w:rsidRPr="00B150EE">
        <w:rPr>
          <w:spacing w:val="-4"/>
          <w:sz w:val="28"/>
          <w:szCs w:val="28"/>
          <w:lang w:val="pl-PL"/>
        </w:rPr>
        <w:t>thị trường ngoại hối trong nước ổn định hơn nhiều so với mức độ biến động khá lớn của cá</w:t>
      </w:r>
      <w:r w:rsidR="00CB754D">
        <w:rPr>
          <w:spacing w:val="-4"/>
          <w:sz w:val="28"/>
          <w:szCs w:val="28"/>
          <w:lang w:val="pl-PL"/>
        </w:rPr>
        <w:t>c nước trên thế giới và khu vực.</w:t>
      </w:r>
      <w:r w:rsidRPr="00B150EE">
        <w:rPr>
          <w:spacing w:val="-4"/>
          <w:sz w:val="28"/>
          <w:szCs w:val="28"/>
          <w:lang w:val="pl-PL"/>
        </w:rPr>
        <w:t xml:space="preserve"> </w:t>
      </w:r>
      <w:r w:rsidR="007514EE">
        <w:rPr>
          <w:sz w:val="28"/>
          <w:szCs w:val="28"/>
        </w:rPr>
        <w:t>T</w:t>
      </w:r>
      <w:r w:rsidR="0042136D" w:rsidRPr="00A57258">
        <w:rPr>
          <w:sz w:val="28"/>
          <w:szCs w:val="28"/>
        </w:rPr>
        <w:t>ỷ giá</w:t>
      </w:r>
      <w:r w:rsidR="0042136D">
        <w:rPr>
          <w:sz w:val="28"/>
          <w:szCs w:val="28"/>
        </w:rPr>
        <w:t xml:space="preserve"> ổn định</w:t>
      </w:r>
      <w:r w:rsidR="005A733E">
        <w:rPr>
          <w:sz w:val="28"/>
          <w:szCs w:val="28"/>
        </w:rPr>
        <w:t xml:space="preserve"> </w:t>
      </w:r>
      <w:r w:rsidR="007514EE">
        <w:rPr>
          <w:sz w:val="28"/>
          <w:szCs w:val="28"/>
        </w:rPr>
        <w:t xml:space="preserve">đã </w:t>
      </w:r>
      <w:r w:rsidR="00CB754D">
        <w:rPr>
          <w:spacing w:val="-4"/>
          <w:sz w:val="28"/>
          <w:szCs w:val="28"/>
          <w:lang w:val="pl-PL"/>
        </w:rPr>
        <w:t xml:space="preserve">góp phần ổn định kinh tế vĩ mô, </w:t>
      </w:r>
      <w:r w:rsidR="00CB754D">
        <w:rPr>
          <w:sz w:val="28"/>
          <w:szCs w:val="28"/>
        </w:rPr>
        <w:t xml:space="preserve">hỗ trợ xuất khẩu tăng trưởng tốt, </w:t>
      </w:r>
      <w:r w:rsidR="007514EE">
        <w:rPr>
          <w:sz w:val="28"/>
          <w:szCs w:val="28"/>
        </w:rPr>
        <w:t>giúp</w:t>
      </w:r>
      <w:r w:rsidR="00A22C65">
        <w:rPr>
          <w:sz w:val="28"/>
          <w:szCs w:val="28"/>
        </w:rPr>
        <w:t xml:space="preserve"> cho các</w:t>
      </w:r>
      <w:r w:rsidR="007514EE">
        <w:rPr>
          <w:sz w:val="28"/>
          <w:szCs w:val="28"/>
        </w:rPr>
        <w:t xml:space="preserve"> </w:t>
      </w:r>
      <w:r w:rsidR="0042136D" w:rsidRPr="00A57258">
        <w:rPr>
          <w:sz w:val="28"/>
          <w:szCs w:val="28"/>
        </w:rPr>
        <w:t>doanh nghiệp</w:t>
      </w:r>
      <w:r w:rsidR="00B310E5">
        <w:rPr>
          <w:sz w:val="28"/>
          <w:szCs w:val="28"/>
        </w:rPr>
        <w:t xml:space="preserve"> có một môi trường ổn định,</w:t>
      </w:r>
      <w:r w:rsidR="0042136D" w:rsidRPr="00A57258">
        <w:rPr>
          <w:sz w:val="28"/>
          <w:szCs w:val="28"/>
        </w:rPr>
        <w:t xml:space="preserve"> chủ động trong việc xây dựng và triển khai kế hoạch kinh doanh, phòng ngừa rủi ro tỷ giá</w:t>
      </w:r>
      <w:r w:rsidR="008F08B5">
        <w:rPr>
          <w:sz w:val="28"/>
          <w:szCs w:val="28"/>
        </w:rPr>
        <w:t>; đồng thời, tạo niềm tin cho nhà đầu tư</w:t>
      </w:r>
      <w:r w:rsidR="002E6D74">
        <w:rPr>
          <w:sz w:val="28"/>
          <w:szCs w:val="28"/>
        </w:rPr>
        <w:t xml:space="preserve"> và</w:t>
      </w:r>
      <w:r w:rsidR="00DF3E1F">
        <w:rPr>
          <w:sz w:val="28"/>
          <w:szCs w:val="28"/>
        </w:rPr>
        <w:t xml:space="preserve"> doanh nghiệp.</w:t>
      </w:r>
      <w:r w:rsidR="00997D2A" w:rsidRPr="00997D2A">
        <w:rPr>
          <w:spacing w:val="-4"/>
          <w:sz w:val="28"/>
          <w:szCs w:val="28"/>
          <w:lang w:val="pl-PL"/>
        </w:rPr>
        <w:t xml:space="preserve"> </w:t>
      </w:r>
      <w:r w:rsidR="00997D2A" w:rsidRPr="00B150EE">
        <w:rPr>
          <w:spacing w:val="-4"/>
          <w:sz w:val="28"/>
          <w:szCs w:val="28"/>
          <w:lang w:val="pl-PL"/>
        </w:rPr>
        <w:t xml:space="preserve">NHNN </w:t>
      </w:r>
      <w:r w:rsidR="002E6D74">
        <w:rPr>
          <w:spacing w:val="-4"/>
          <w:sz w:val="28"/>
          <w:szCs w:val="28"/>
          <w:lang w:val="pl-PL"/>
        </w:rPr>
        <w:t xml:space="preserve">cũng đã </w:t>
      </w:r>
      <w:r w:rsidR="00997D2A" w:rsidRPr="00B150EE">
        <w:rPr>
          <w:spacing w:val="-4"/>
          <w:sz w:val="28"/>
          <w:szCs w:val="28"/>
          <w:lang w:val="pl-PL"/>
        </w:rPr>
        <w:t>mua được lượng lớn ngoại tệ để tăng dự trữ ngoại hối Nhà nước, đưa dự trữ ngoại hối chính thức đạ</w:t>
      </w:r>
      <w:r w:rsidR="001B6FCC">
        <w:rPr>
          <w:spacing w:val="-4"/>
          <w:sz w:val="28"/>
          <w:szCs w:val="28"/>
          <w:lang w:val="pl-PL"/>
        </w:rPr>
        <w:t>t mức cao nhất từ trước đến nay; đạt được mục tiêu bước đầu trong việc chống đôla hóa.</w:t>
      </w:r>
    </w:p>
    <w:p w:rsidR="0015786E" w:rsidRDefault="0015786E" w:rsidP="0098596A">
      <w:pPr>
        <w:pStyle w:val="BodyText2"/>
        <w:spacing w:before="60" w:after="60" w:line="300" w:lineRule="atLeast"/>
        <w:ind w:firstLine="720"/>
        <w:jc w:val="both"/>
        <w:rPr>
          <w:sz w:val="28"/>
          <w:szCs w:val="28"/>
        </w:rPr>
      </w:pPr>
      <w:r>
        <w:rPr>
          <w:spacing w:val="-4"/>
          <w:sz w:val="28"/>
          <w:szCs w:val="28"/>
          <w:lang w:val="pl-PL"/>
        </w:rPr>
        <w:t xml:space="preserve">Trong thời gian tới, </w:t>
      </w:r>
      <w:r w:rsidR="004675A0">
        <w:rPr>
          <w:spacing w:val="-4"/>
          <w:sz w:val="28"/>
          <w:szCs w:val="28"/>
          <w:lang w:val="pl-PL"/>
        </w:rPr>
        <w:t xml:space="preserve">với chủ trương từng bước chống đôla hóa trong nền kinh tế, </w:t>
      </w:r>
      <w:r w:rsidR="0071308A">
        <w:rPr>
          <w:spacing w:val="-4"/>
          <w:sz w:val="28"/>
          <w:szCs w:val="28"/>
          <w:lang w:val="pl-PL"/>
        </w:rPr>
        <w:t xml:space="preserve">NHNN tiếp tục điều hành tỷ giá ổn định, linh hoạt, </w:t>
      </w:r>
      <w:r w:rsidR="005C1DC5">
        <w:rPr>
          <w:spacing w:val="-4"/>
          <w:sz w:val="28"/>
          <w:szCs w:val="28"/>
          <w:lang w:val="pl-PL"/>
        </w:rPr>
        <w:t>không để</w:t>
      </w:r>
      <w:r w:rsidR="0071308A">
        <w:rPr>
          <w:spacing w:val="-4"/>
          <w:sz w:val="28"/>
          <w:szCs w:val="28"/>
          <w:lang w:val="pl-PL"/>
        </w:rPr>
        <w:t xml:space="preserve"> tỷ giá </w:t>
      </w:r>
      <w:r w:rsidR="005C1DC5">
        <w:rPr>
          <w:spacing w:val="-4"/>
          <w:sz w:val="28"/>
          <w:szCs w:val="28"/>
          <w:lang w:val="pl-PL"/>
        </w:rPr>
        <w:t xml:space="preserve">biến động </w:t>
      </w:r>
      <w:r w:rsidR="0071308A">
        <w:rPr>
          <w:spacing w:val="-4"/>
          <w:sz w:val="28"/>
          <w:szCs w:val="28"/>
          <w:lang w:val="pl-PL"/>
        </w:rPr>
        <w:t>gây tâm lý bất ổn trên thị trường</w:t>
      </w:r>
      <w:r w:rsidR="00C837A7">
        <w:rPr>
          <w:spacing w:val="-4"/>
          <w:sz w:val="28"/>
          <w:szCs w:val="28"/>
          <w:lang w:val="pl-PL"/>
        </w:rPr>
        <w:t>, đảm bảo hài hòa lợi ích nhà xuất khẩu, nhập khẩu, quan hệ vay trả nợ nước ngoài của doanh nghiệp, Chính phủ</w:t>
      </w:r>
      <w:r w:rsidR="0071308A">
        <w:rPr>
          <w:spacing w:val="-4"/>
          <w:sz w:val="28"/>
          <w:szCs w:val="28"/>
          <w:lang w:val="pl-PL"/>
        </w:rPr>
        <w:t xml:space="preserve">; đồng thời tiếp tục xem xét, xử lý các nhu cầu vay vốn ngoại tệ ngắn hạn </w:t>
      </w:r>
      <w:r w:rsidR="002255D8">
        <w:rPr>
          <w:spacing w:val="-4"/>
          <w:sz w:val="28"/>
          <w:szCs w:val="28"/>
          <w:lang w:val="pl-PL"/>
        </w:rPr>
        <w:t xml:space="preserve">một cách hợp lý </w:t>
      </w:r>
      <w:r w:rsidR="0071308A">
        <w:rPr>
          <w:spacing w:val="-4"/>
          <w:sz w:val="28"/>
          <w:szCs w:val="28"/>
          <w:lang w:val="pl-PL"/>
        </w:rPr>
        <w:t>để phục vụ hoạt động sản xuất kinh doanh thuộc công nghiệp hỗ trợ, công nghệ cao, nông nghiệp nông thôn, xuất khẩu, doanh nghiệp nhỏ và vừa.</w:t>
      </w:r>
    </w:p>
    <w:p w:rsidR="00DF3E1F" w:rsidRPr="00281D69" w:rsidRDefault="00A114BB" w:rsidP="0098596A">
      <w:pPr>
        <w:spacing w:before="60" w:after="60" w:line="300" w:lineRule="atLeast"/>
        <w:ind w:firstLine="720"/>
        <w:jc w:val="both"/>
        <w:rPr>
          <w:rFonts w:ascii="Times New Roman" w:hAnsi="Times New Roman" w:cs="Times New Roman"/>
          <w:bCs/>
          <w:i/>
          <w:sz w:val="28"/>
          <w:szCs w:val="28"/>
          <w:lang w:val="sv-SE"/>
        </w:rPr>
      </w:pPr>
      <w:r>
        <w:rPr>
          <w:rFonts w:ascii="Times New Roman" w:hAnsi="Times New Roman" w:cs="Times New Roman"/>
          <w:b/>
          <w:bCs/>
          <w:sz w:val="28"/>
          <w:szCs w:val="28"/>
          <w:lang w:val="sv-SE"/>
        </w:rPr>
        <w:t>4</w:t>
      </w:r>
      <w:r w:rsidR="0086759A">
        <w:rPr>
          <w:rFonts w:ascii="Times New Roman" w:hAnsi="Times New Roman" w:cs="Times New Roman"/>
          <w:b/>
          <w:bCs/>
          <w:sz w:val="28"/>
          <w:szCs w:val="28"/>
          <w:lang w:val="sv-SE"/>
        </w:rPr>
        <w:t xml:space="preserve">. </w:t>
      </w:r>
      <w:r w:rsidR="00B653E4" w:rsidRPr="00281D69">
        <w:rPr>
          <w:rFonts w:ascii="Times New Roman" w:hAnsi="Times New Roman" w:cs="Times New Roman"/>
          <w:bCs/>
          <w:i/>
          <w:sz w:val="28"/>
          <w:szCs w:val="28"/>
          <w:lang w:val="sv-SE"/>
        </w:rPr>
        <w:t>Về tạo điều kiện cho doanh nghiệp tiếp cận vốn</w:t>
      </w:r>
    </w:p>
    <w:p w:rsidR="007863DD" w:rsidRDefault="007863DD" w:rsidP="0098596A">
      <w:pPr>
        <w:spacing w:before="60" w:after="60" w:line="300" w:lineRule="atLeast"/>
        <w:ind w:firstLine="720"/>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4.1. Về khuôn khổ pháp lý và cơ chế chính sách</w:t>
      </w:r>
    </w:p>
    <w:p w:rsidR="0086759A" w:rsidRPr="00A564BA" w:rsidRDefault="00857213" w:rsidP="0098596A">
      <w:pPr>
        <w:spacing w:before="60" w:after="60" w:line="300" w:lineRule="atLeast"/>
        <w:ind w:firstLine="720"/>
        <w:jc w:val="both"/>
        <w:rPr>
          <w:rFonts w:asciiTheme="majorHAnsi" w:eastAsia="Times New Roman" w:hAnsiTheme="majorHAnsi" w:cstheme="majorHAnsi"/>
          <w:color w:val="000000"/>
          <w:sz w:val="28"/>
          <w:szCs w:val="28"/>
          <w:lang w:val="nl-NL"/>
        </w:rPr>
      </w:pPr>
      <w:r>
        <w:rPr>
          <w:rFonts w:ascii="Times New Roman" w:eastAsia="Times New Roman" w:hAnsi="Times New Roman" w:cs="Times New Roman"/>
          <w:color w:val="000000"/>
          <w:sz w:val="28"/>
          <w:szCs w:val="28"/>
          <w:lang w:val="pt-BR"/>
        </w:rPr>
        <w:t>NHNN t</w:t>
      </w:r>
      <w:r w:rsidR="0086759A" w:rsidRPr="00857213">
        <w:rPr>
          <w:rFonts w:ascii="Times New Roman" w:eastAsia="Times New Roman" w:hAnsi="Times New Roman" w:cs="Times New Roman"/>
          <w:color w:val="000000"/>
          <w:sz w:val="28"/>
          <w:szCs w:val="28"/>
          <w:lang w:val="pt-BR"/>
        </w:rPr>
        <w:t xml:space="preserve">iếp tục hoàn thiện khuôn khổ pháp lý về tiền tệ, ngân hàng, tạo thuận lợi cho doanh nghiệp tiếp cận vốn vay; </w:t>
      </w:r>
      <w:r>
        <w:rPr>
          <w:rFonts w:ascii="Times New Roman" w:eastAsia="Times New Roman" w:hAnsi="Times New Roman" w:cs="Times New Roman"/>
          <w:color w:val="000000"/>
          <w:sz w:val="28"/>
          <w:szCs w:val="28"/>
          <w:lang w:val="pt-BR"/>
        </w:rPr>
        <w:t>đ</w:t>
      </w:r>
      <w:r w:rsidR="0086759A" w:rsidRPr="00857213">
        <w:rPr>
          <w:rFonts w:ascii="Times New Roman" w:eastAsia="Times New Roman" w:hAnsi="Times New Roman" w:cs="Times New Roman"/>
          <w:color w:val="000000"/>
          <w:sz w:val="28"/>
          <w:szCs w:val="28"/>
          <w:lang w:val="pt-BR"/>
        </w:rPr>
        <w:t xml:space="preserve">ặc biệt là Thông tư số 39/2016/TT-NHNN đã </w:t>
      </w:r>
      <w:r w:rsidR="0086759A" w:rsidRPr="00DA59B1">
        <w:rPr>
          <w:rFonts w:ascii="Times New Roman" w:eastAsia="Times New Roman" w:hAnsi="Times New Roman" w:cs="Times New Roman"/>
          <w:color w:val="000000"/>
          <w:sz w:val="28"/>
          <w:szCs w:val="28"/>
          <w:lang w:val="pt-BR"/>
        </w:rPr>
        <w:t>đơn giản hóa một số hồ sơ, thủ tục cho vay</w:t>
      </w:r>
      <w:r w:rsidR="0086759A">
        <w:rPr>
          <w:rFonts w:ascii="Times New Roman" w:eastAsia="Times New Roman" w:hAnsi="Times New Roman" w:cs="Times New Roman"/>
          <w:color w:val="000000"/>
          <w:sz w:val="28"/>
          <w:szCs w:val="28"/>
          <w:lang w:val="pt-BR"/>
        </w:rPr>
        <w:t xml:space="preserve">; </w:t>
      </w:r>
      <w:r w:rsidR="0086759A" w:rsidRPr="00DA59B1">
        <w:rPr>
          <w:rFonts w:ascii="Times New Roman" w:eastAsia="Times New Roman" w:hAnsi="Times New Roman" w:cs="Times New Roman"/>
          <w:color w:val="000000"/>
          <w:sz w:val="28"/>
          <w:szCs w:val="28"/>
          <w:lang w:val="pt-BR"/>
        </w:rPr>
        <w:t>bổ sung nhiều quy định để đảm bảo tính minh bạch trong hoạt động cho vay, bảo vệ quyền lợi của người vay</w:t>
      </w:r>
      <w:r w:rsidR="0086759A">
        <w:rPr>
          <w:rFonts w:ascii="Times New Roman" w:eastAsia="Times New Roman" w:hAnsi="Times New Roman" w:cs="Times New Roman"/>
          <w:color w:val="000000"/>
          <w:sz w:val="28"/>
          <w:szCs w:val="28"/>
          <w:lang w:val="pt-BR"/>
        </w:rPr>
        <w:t xml:space="preserve">; </w:t>
      </w:r>
      <w:r w:rsidR="0086759A" w:rsidRPr="00857213">
        <w:rPr>
          <w:rFonts w:ascii="Times New Roman" w:eastAsia="Times New Roman" w:hAnsi="Times New Roman" w:cs="Times New Roman"/>
          <w:color w:val="000000"/>
          <w:sz w:val="28"/>
          <w:szCs w:val="28"/>
          <w:lang w:val="pt-BR"/>
        </w:rPr>
        <w:t>nâng cao tính tự chủ trong hoạt động cho vay của TCTD</w:t>
      </w:r>
      <w:r w:rsidR="0086759A" w:rsidRPr="00095048">
        <w:rPr>
          <w:rFonts w:ascii="Times New Roman" w:eastAsia="Times New Roman" w:hAnsi="Times New Roman" w:cs="Times New Roman"/>
          <w:sz w:val="28"/>
          <w:szCs w:val="28"/>
          <w:lang w:eastAsia="vi-VN"/>
        </w:rPr>
        <w:t>, đồng thời nâng cao yêu cầu minh bạch hóa, bảo đảm an toàn cho hoạt động cho vay của TCTD</w:t>
      </w:r>
      <w:r w:rsidR="0086759A" w:rsidRPr="00A947C1">
        <w:rPr>
          <w:rFonts w:ascii="Times New Roman" w:eastAsia="Times New Roman" w:hAnsi="Times New Roman" w:cs="Times New Roman"/>
          <w:sz w:val="28"/>
          <w:szCs w:val="28"/>
          <w:lang w:val="nl-NL" w:eastAsia="vi-VN"/>
        </w:rPr>
        <w:t>.</w:t>
      </w:r>
      <w:r w:rsidR="003B7C64">
        <w:rPr>
          <w:rFonts w:ascii="Times New Roman" w:eastAsia="Times New Roman" w:hAnsi="Times New Roman" w:cs="Times New Roman"/>
          <w:sz w:val="28"/>
          <w:szCs w:val="28"/>
          <w:lang w:val="nl-NL" w:eastAsia="vi-VN"/>
        </w:rPr>
        <w:t xml:space="preserve"> </w:t>
      </w:r>
      <w:r w:rsidR="0086759A">
        <w:rPr>
          <w:rFonts w:asciiTheme="majorHAnsi" w:eastAsia="Times New Roman" w:hAnsiTheme="majorHAnsi" w:cstheme="majorHAnsi"/>
          <w:color w:val="000000"/>
          <w:sz w:val="28"/>
          <w:szCs w:val="28"/>
          <w:lang w:val="nl-NL"/>
        </w:rPr>
        <w:t>NHNN cũng đã trình Chính phủ và báo cáo Bộ Chính trị Đề án cơ cấu lại hệ thống các TCTD gắn với xử lý nợ xấu giai đoạn 2016-2020; trong đó, một trong các giải pháp là trình Quốc hội thông qua Nghị quyết về xử lý nợ xấu và Luật sửa đổi, bổ sung một số điều của Luật các TCTD. Nếu được thông qua</w:t>
      </w:r>
      <w:r w:rsidR="00347ED0">
        <w:rPr>
          <w:rFonts w:asciiTheme="majorHAnsi" w:eastAsia="Times New Roman" w:hAnsiTheme="majorHAnsi" w:cstheme="majorHAnsi"/>
          <w:color w:val="000000"/>
          <w:sz w:val="28"/>
          <w:szCs w:val="28"/>
          <w:lang w:val="nl-NL"/>
        </w:rPr>
        <w:t xml:space="preserve"> sớm</w:t>
      </w:r>
      <w:r w:rsidR="0086759A">
        <w:rPr>
          <w:rFonts w:asciiTheme="majorHAnsi" w:eastAsia="Times New Roman" w:hAnsiTheme="majorHAnsi" w:cstheme="majorHAnsi"/>
          <w:color w:val="000000"/>
          <w:sz w:val="28"/>
          <w:szCs w:val="28"/>
          <w:lang w:val="nl-NL"/>
        </w:rPr>
        <w:t xml:space="preserve">, </w:t>
      </w:r>
      <w:r w:rsidR="00347ED0">
        <w:rPr>
          <w:rFonts w:asciiTheme="majorHAnsi" w:eastAsia="Times New Roman" w:hAnsiTheme="majorHAnsi" w:cstheme="majorHAnsi"/>
          <w:color w:val="000000"/>
          <w:sz w:val="28"/>
          <w:szCs w:val="28"/>
          <w:lang w:val="nl-NL"/>
        </w:rPr>
        <w:t xml:space="preserve">Nghị quyết của Quốc hội sẽ tạo điều kiện </w:t>
      </w:r>
      <w:r w:rsidR="007B4554">
        <w:rPr>
          <w:rFonts w:asciiTheme="majorHAnsi" w:eastAsia="Times New Roman" w:hAnsiTheme="majorHAnsi" w:cstheme="majorHAnsi"/>
          <w:color w:val="000000"/>
          <w:sz w:val="28"/>
          <w:szCs w:val="28"/>
          <w:lang w:val="nl-NL"/>
        </w:rPr>
        <w:t xml:space="preserve">xử lý triệt để các vướng mắc khó khăn </w:t>
      </w:r>
      <w:r w:rsidR="005A6CC6">
        <w:rPr>
          <w:rFonts w:asciiTheme="majorHAnsi" w:eastAsia="Times New Roman" w:hAnsiTheme="majorHAnsi" w:cstheme="majorHAnsi"/>
          <w:color w:val="000000"/>
          <w:sz w:val="28"/>
          <w:szCs w:val="28"/>
          <w:lang w:val="nl-NL"/>
        </w:rPr>
        <w:t xml:space="preserve">về cơ sở </w:t>
      </w:r>
      <w:r w:rsidR="007B4554">
        <w:rPr>
          <w:rFonts w:asciiTheme="majorHAnsi" w:eastAsia="Times New Roman" w:hAnsiTheme="majorHAnsi" w:cstheme="majorHAnsi"/>
          <w:color w:val="000000"/>
          <w:sz w:val="28"/>
          <w:szCs w:val="28"/>
          <w:lang w:val="nl-NL"/>
        </w:rPr>
        <w:t xml:space="preserve">pháp lý hiện hành liên quan đến xử lý </w:t>
      </w:r>
      <w:r w:rsidR="0086759A">
        <w:rPr>
          <w:rFonts w:asciiTheme="majorHAnsi" w:eastAsia="Times New Roman" w:hAnsiTheme="majorHAnsi" w:cstheme="majorHAnsi"/>
          <w:color w:val="000000"/>
          <w:sz w:val="28"/>
          <w:szCs w:val="28"/>
          <w:lang w:val="nl-NL"/>
        </w:rPr>
        <w:t xml:space="preserve">nợ xấu </w:t>
      </w:r>
      <w:r w:rsidR="007B4554">
        <w:rPr>
          <w:rFonts w:asciiTheme="majorHAnsi" w:eastAsia="Times New Roman" w:hAnsiTheme="majorHAnsi" w:cstheme="majorHAnsi"/>
          <w:color w:val="000000"/>
          <w:sz w:val="28"/>
          <w:szCs w:val="28"/>
          <w:lang w:val="nl-NL"/>
        </w:rPr>
        <w:t>và tài sản bảo đảm, các khoản nợ của các TCTD, tạo cơ chế xử lý đồng bộ, thống nhất, hiệu quả</w:t>
      </w:r>
      <w:r w:rsidR="00A564BA">
        <w:rPr>
          <w:rFonts w:asciiTheme="majorHAnsi" w:eastAsia="Times New Roman" w:hAnsiTheme="majorHAnsi" w:cstheme="majorHAnsi"/>
          <w:color w:val="000000"/>
          <w:sz w:val="28"/>
          <w:szCs w:val="28"/>
          <w:lang w:val="nl-NL"/>
        </w:rPr>
        <w:t>,</w:t>
      </w:r>
      <w:r w:rsidR="007B4554">
        <w:rPr>
          <w:rFonts w:asciiTheme="majorHAnsi" w:eastAsia="Times New Roman" w:hAnsiTheme="majorHAnsi" w:cstheme="majorHAnsi"/>
          <w:color w:val="000000"/>
          <w:sz w:val="28"/>
          <w:szCs w:val="28"/>
          <w:lang w:val="nl-NL"/>
        </w:rPr>
        <w:t xml:space="preserve"> khả thi các khoản nợ xấu. </w:t>
      </w:r>
      <w:r w:rsidR="0010499F">
        <w:rPr>
          <w:rFonts w:asciiTheme="majorHAnsi" w:eastAsia="Times New Roman" w:hAnsiTheme="majorHAnsi" w:cstheme="majorHAnsi"/>
          <w:color w:val="000000"/>
          <w:sz w:val="28"/>
          <w:szCs w:val="28"/>
          <w:lang w:val="nl-NL"/>
        </w:rPr>
        <w:t>Nhờ đó</w:t>
      </w:r>
      <w:r w:rsidR="00A564BA">
        <w:rPr>
          <w:rFonts w:asciiTheme="majorHAnsi" w:eastAsia="Times New Roman" w:hAnsiTheme="majorHAnsi" w:cstheme="majorHAnsi"/>
          <w:color w:val="000000"/>
          <w:sz w:val="28"/>
          <w:szCs w:val="28"/>
          <w:lang w:val="nl-NL"/>
        </w:rPr>
        <w:t xml:space="preserve"> </w:t>
      </w:r>
      <w:r w:rsidR="0010499F">
        <w:rPr>
          <w:rFonts w:asciiTheme="majorHAnsi" w:eastAsia="Times New Roman" w:hAnsiTheme="majorHAnsi" w:cstheme="majorHAnsi"/>
          <w:color w:val="000000"/>
          <w:sz w:val="28"/>
          <w:szCs w:val="28"/>
          <w:lang w:val="nl-NL"/>
        </w:rPr>
        <w:t xml:space="preserve">sẽ </w:t>
      </w:r>
      <w:r w:rsidR="00A564BA" w:rsidRPr="00A564BA">
        <w:rPr>
          <w:rFonts w:asciiTheme="majorHAnsi" w:eastAsia="Times New Roman" w:hAnsiTheme="majorHAnsi" w:cstheme="majorHAnsi"/>
          <w:color w:val="000000"/>
          <w:sz w:val="28"/>
          <w:szCs w:val="28"/>
          <w:lang w:val="nl-NL"/>
        </w:rPr>
        <w:t>giải phóng</w:t>
      </w:r>
      <w:r w:rsidR="0010499F">
        <w:rPr>
          <w:rFonts w:asciiTheme="majorHAnsi" w:eastAsia="Times New Roman" w:hAnsiTheme="majorHAnsi" w:cstheme="majorHAnsi"/>
          <w:color w:val="000000"/>
          <w:sz w:val="28"/>
          <w:szCs w:val="28"/>
          <w:lang w:val="nl-NL"/>
        </w:rPr>
        <w:t xml:space="preserve"> khối lượng vốn lớn đang đọng lại trong các khoản nợ xấu cũng như giải phóng</w:t>
      </w:r>
      <w:r w:rsidR="00A564BA" w:rsidRPr="00A564BA">
        <w:rPr>
          <w:rFonts w:asciiTheme="majorHAnsi" w:eastAsia="Times New Roman" w:hAnsiTheme="majorHAnsi" w:cstheme="majorHAnsi"/>
          <w:color w:val="000000"/>
          <w:sz w:val="28"/>
          <w:szCs w:val="28"/>
          <w:lang w:val="nl-NL"/>
        </w:rPr>
        <w:t xml:space="preserve"> khối lượng tài sản thế chấp hiện nay chưa xử lý được, gây lãng phí nguồn lực xã hội</w:t>
      </w:r>
      <w:r w:rsidR="0010499F">
        <w:rPr>
          <w:rFonts w:asciiTheme="majorHAnsi" w:eastAsia="Times New Roman" w:hAnsiTheme="majorHAnsi" w:cstheme="majorHAnsi"/>
          <w:color w:val="000000"/>
          <w:sz w:val="28"/>
          <w:szCs w:val="28"/>
          <w:lang w:val="nl-NL"/>
        </w:rPr>
        <w:t xml:space="preserve">, </w:t>
      </w:r>
      <w:r w:rsidR="00A564BA" w:rsidRPr="00A564BA">
        <w:rPr>
          <w:rFonts w:asciiTheme="majorHAnsi" w:eastAsia="Times New Roman" w:hAnsiTheme="majorHAnsi" w:cstheme="majorHAnsi"/>
          <w:color w:val="000000"/>
          <w:sz w:val="28"/>
          <w:szCs w:val="28"/>
          <w:lang w:val="nl-NL"/>
        </w:rPr>
        <w:t xml:space="preserve">giúp các TCTD mở rộng tín dụng cho nền kinh tế, </w:t>
      </w:r>
      <w:r w:rsidR="0010499F">
        <w:rPr>
          <w:rFonts w:asciiTheme="majorHAnsi" w:eastAsia="Times New Roman" w:hAnsiTheme="majorHAnsi" w:cstheme="majorHAnsi"/>
          <w:color w:val="000000"/>
          <w:sz w:val="28"/>
          <w:szCs w:val="28"/>
          <w:lang w:val="nl-NL"/>
        </w:rPr>
        <w:t xml:space="preserve">đồng thời, </w:t>
      </w:r>
      <w:r w:rsidR="000172C5">
        <w:rPr>
          <w:rFonts w:asciiTheme="majorHAnsi" w:eastAsia="Times New Roman" w:hAnsiTheme="majorHAnsi" w:cstheme="majorHAnsi"/>
          <w:color w:val="000000"/>
          <w:sz w:val="28"/>
          <w:szCs w:val="28"/>
          <w:lang w:val="nl-NL"/>
        </w:rPr>
        <w:t xml:space="preserve">giảm được chi phí hoạt động để </w:t>
      </w:r>
      <w:r w:rsidR="0010499F">
        <w:rPr>
          <w:rFonts w:asciiTheme="majorHAnsi" w:eastAsia="Times New Roman" w:hAnsiTheme="majorHAnsi" w:cstheme="majorHAnsi"/>
          <w:color w:val="000000"/>
          <w:sz w:val="28"/>
          <w:szCs w:val="28"/>
          <w:lang w:val="nl-NL"/>
        </w:rPr>
        <w:t>có điều kiện</w:t>
      </w:r>
      <w:r w:rsidR="00D3069A">
        <w:rPr>
          <w:rFonts w:asciiTheme="majorHAnsi" w:eastAsia="Times New Roman" w:hAnsiTheme="majorHAnsi" w:cstheme="majorHAnsi"/>
          <w:color w:val="000000"/>
          <w:sz w:val="28"/>
          <w:szCs w:val="28"/>
          <w:lang w:val="nl-NL"/>
        </w:rPr>
        <w:t xml:space="preserve"> tiếp tục giảm lãi suất cho vay.</w:t>
      </w:r>
    </w:p>
    <w:p w:rsidR="00313A75" w:rsidRDefault="00313A75" w:rsidP="0098596A">
      <w:pPr>
        <w:spacing w:before="60" w:after="60" w:line="300" w:lineRule="atLeast"/>
        <w:ind w:firstLine="720"/>
        <w:jc w:val="both"/>
        <w:rPr>
          <w:rFonts w:asciiTheme="majorHAnsi" w:eastAsia="Times New Roman" w:hAnsiTheme="majorHAnsi" w:cstheme="majorHAnsi"/>
          <w:color w:val="000000"/>
          <w:sz w:val="28"/>
          <w:szCs w:val="28"/>
          <w:lang w:val="nl-NL"/>
        </w:rPr>
      </w:pPr>
      <w:r>
        <w:rPr>
          <w:rFonts w:asciiTheme="majorHAnsi" w:eastAsia="Times New Roman" w:hAnsiTheme="majorHAnsi" w:cstheme="majorHAnsi"/>
          <w:color w:val="000000"/>
          <w:sz w:val="28"/>
          <w:szCs w:val="28"/>
          <w:lang w:val="nl-NL"/>
        </w:rPr>
        <w:t>4.2. Về thủ tục vay vốn</w:t>
      </w:r>
    </w:p>
    <w:p w:rsidR="0099765C" w:rsidRDefault="00313A75" w:rsidP="0098596A">
      <w:pPr>
        <w:spacing w:before="60" w:after="60" w:line="300" w:lineRule="atLeast"/>
        <w:ind w:firstLine="720"/>
        <w:jc w:val="both"/>
        <w:rPr>
          <w:rFonts w:ascii="Times New Roman" w:eastAsia="Times New Roman" w:hAnsi="Times New Roman" w:cs="Times New Roman"/>
          <w:sz w:val="28"/>
          <w:szCs w:val="28"/>
          <w:lang w:val="es-MX"/>
        </w:rPr>
      </w:pPr>
      <w:r>
        <w:rPr>
          <w:rFonts w:asciiTheme="majorHAnsi" w:eastAsia="Times New Roman" w:hAnsiTheme="majorHAnsi" w:cstheme="majorHAnsi"/>
          <w:color w:val="000000"/>
          <w:sz w:val="28"/>
          <w:szCs w:val="28"/>
          <w:lang w:val="nl-NL"/>
        </w:rPr>
        <w:t>T</w:t>
      </w:r>
      <w:r w:rsidR="00A05662">
        <w:rPr>
          <w:rFonts w:asciiTheme="majorHAnsi" w:eastAsia="Times New Roman" w:hAnsiTheme="majorHAnsi" w:cstheme="majorHAnsi"/>
          <w:color w:val="000000"/>
          <w:sz w:val="28"/>
          <w:szCs w:val="28"/>
          <w:lang w:val="nl-NL"/>
        </w:rPr>
        <w:t>hời gian qua</w:t>
      </w:r>
      <w:r w:rsidR="00626798">
        <w:rPr>
          <w:rFonts w:asciiTheme="majorHAnsi" w:eastAsia="Times New Roman" w:hAnsiTheme="majorHAnsi" w:cstheme="majorHAnsi"/>
          <w:color w:val="000000"/>
          <w:sz w:val="28"/>
          <w:szCs w:val="28"/>
          <w:lang w:val="nl-NL"/>
        </w:rPr>
        <w:t>,</w:t>
      </w:r>
      <w:r w:rsidR="00A05662">
        <w:rPr>
          <w:rFonts w:asciiTheme="majorHAnsi" w:eastAsia="Times New Roman" w:hAnsiTheme="majorHAnsi" w:cstheme="majorHAnsi"/>
          <w:color w:val="000000"/>
          <w:sz w:val="28"/>
          <w:szCs w:val="28"/>
          <w:lang w:val="nl-NL"/>
        </w:rPr>
        <w:t xml:space="preserve"> n</w:t>
      </w:r>
      <w:r w:rsidR="00FB3E47" w:rsidRPr="00A05662">
        <w:rPr>
          <w:rFonts w:asciiTheme="majorHAnsi" w:eastAsia="Times New Roman" w:hAnsiTheme="majorHAnsi" w:cstheme="majorHAnsi"/>
          <w:color w:val="000000"/>
          <w:sz w:val="28"/>
          <w:szCs w:val="28"/>
          <w:lang w:val="nl-NL"/>
        </w:rPr>
        <w:t xml:space="preserve">gành Ngân hàng </w:t>
      </w:r>
      <w:r w:rsidR="00CF32F7">
        <w:rPr>
          <w:rFonts w:asciiTheme="majorHAnsi" w:eastAsia="Times New Roman" w:hAnsiTheme="majorHAnsi" w:cstheme="majorHAnsi"/>
          <w:color w:val="000000"/>
          <w:sz w:val="28"/>
          <w:szCs w:val="28"/>
          <w:lang w:val="nl-NL"/>
        </w:rPr>
        <w:t xml:space="preserve">cũng </w:t>
      </w:r>
      <w:r w:rsidR="00FB3E47" w:rsidRPr="00A05662">
        <w:rPr>
          <w:rFonts w:asciiTheme="majorHAnsi" w:eastAsia="Times New Roman" w:hAnsiTheme="majorHAnsi" w:cstheme="majorHAnsi"/>
          <w:color w:val="000000"/>
          <w:sz w:val="28"/>
          <w:szCs w:val="28"/>
          <w:lang w:val="nl-NL"/>
        </w:rPr>
        <w:t>đ</w:t>
      </w:r>
      <w:r w:rsidR="0020597C" w:rsidRPr="00A05662">
        <w:rPr>
          <w:rFonts w:asciiTheme="majorHAnsi" w:eastAsia="Times New Roman" w:hAnsiTheme="majorHAnsi" w:cstheme="majorHAnsi"/>
          <w:color w:val="000000"/>
          <w:sz w:val="28"/>
          <w:szCs w:val="28"/>
          <w:lang w:val="nl-NL"/>
        </w:rPr>
        <w:t>ã rà soát, cắt giảm, bãi bỏ nhiều TTHC tạo thuận lợi cho tổ chức, cá nhân trong giao dịch hành chính</w:t>
      </w:r>
      <w:r w:rsidR="00FB3E47" w:rsidRPr="00A05662">
        <w:rPr>
          <w:rFonts w:asciiTheme="majorHAnsi" w:eastAsia="Times New Roman" w:hAnsiTheme="majorHAnsi" w:cstheme="majorHAnsi"/>
          <w:color w:val="000000"/>
          <w:sz w:val="28"/>
          <w:szCs w:val="28"/>
          <w:lang w:val="nl-NL"/>
        </w:rPr>
        <w:t xml:space="preserve"> với</w:t>
      </w:r>
      <w:r w:rsidR="0031120E" w:rsidRPr="00A05662">
        <w:rPr>
          <w:rFonts w:asciiTheme="majorHAnsi" w:eastAsia="Times New Roman" w:hAnsiTheme="majorHAnsi" w:cstheme="majorHAnsi"/>
          <w:color w:val="000000"/>
          <w:sz w:val="28"/>
          <w:szCs w:val="28"/>
          <w:lang w:val="nl-NL"/>
        </w:rPr>
        <w:t xml:space="preserve"> NHNN,</w:t>
      </w:r>
      <w:r w:rsidR="00FB3E47" w:rsidRPr="00A05662">
        <w:rPr>
          <w:rFonts w:asciiTheme="majorHAnsi" w:eastAsia="Times New Roman" w:hAnsiTheme="majorHAnsi" w:cstheme="majorHAnsi"/>
          <w:color w:val="000000"/>
          <w:sz w:val="28"/>
          <w:szCs w:val="28"/>
          <w:lang w:val="nl-NL"/>
        </w:rPr>
        <w:t xml:space="preserve"> TCTD</w:t>
      </w:r>
      <w:r w:rsidR="002B3831" w:rsidRPr="00A05662">
        <w:rPr>
          <w:rFonts w:asciiTheme="majorHAnsi" w:eastAsia="Times New Roman" w:hAnsiTheme="majorHAnsi" w:cstheme="majorHAnsi"/>
          <w:color w:val="000000"/>
          <w:sz w:val="28"/>
          <w:szCs w:val="28"/>
          <w:lang w:val="nl-NL"/>
        </w:rPr>
        <w:t>.</w:t>
      </w:r>
      <w:r w:rsidR="00FB3E47" w:rsidRPr="00A05662">
        <w:rPr>
          <w:rFonts w:asciiTheme="majorHAnsi" w:eastAsia="Times New Roman" w:hAnsiTheme="majorHAnsi" w:cstheme="majorHAnsi"/>
          <w:color w:val="000000"/>
          <w:sz w:val="28"/>
          <w:szCs w:val="28"/>
          <w:lang w:val="nl-NL"/>
        </w:rPr>
        <w:t xml:space="preserve"> </w:t>
      </w:r>
      <w:r w:rsidR="002B3831" w:rsidRPr="00A05662">
        <w:rPr>
          <w:rFonts w:asciiTheme="majorHAnsi" w:eastAsia="Times New Roman" w:hAnsiTheme="majorHAnsi" w:cstheme="majorHAnsi"/>
          <w:color w:val="000000"/>
          <w:sz w:val="28"/>
          <w:szCs w:val="28"/>
          <w:lang w:val="nl-NL"/>
        </w:rPr>
        <w:t>Các</w:t>
      </w:r>
      <w:r w:rsidR="002B3831">
        <w:rPr>
          <w:rFonts w:ascii="Times New Roman" w:hAnsi="Times New Roman" w:cs="Times New Roman"/>
          <w:sz w:val="28"/>
          <w:szCs w:val="28"/>
          <w:lang w:val="sv-SE"/>
        </w:rPr>
        <w:t xml:space="preserve"> TCTD </w:t>
      </w:r>
      <w:r w:rsidR="0020597C">
        <w:rPr>
          <w:rFonts w:ascii="Times New Roman" w:eastAsia="Times New Roman" w:hAnsi="Times New Roman" w:cs="Times New Roman"/>
          <w:sz w:val="28"/>
          <w:szCs w:val="28"/>
          <w:lang w:val="es-MX"/>
        </w:rPr>
        <w:t xml:space="preserve">cũng </w:t>
      </w:r>
      <w:r w:rsidR="0020597C" w:rsidRPr="005464F9">
        <w:rPr>
          <w:rFonts w:ascii="Times New Roman" w:eastAsia="Times New Roman" w:hAnsi="Times New Roman" w:cs="Times New Roman"/>
          <w:sz w:val="28"/>
          <w:szCs w:val="28"/>
          <w:lang w:val="es-MX"/>
        </w:rPr>
        <w:t>tích</w:t>
      </w:r>
      <w:r w:rsidR="0020597C">
        <w:rPr>
          <w:rFonts w:ascii="Times New Roman" w:eastAsia="Times New Roman" w:hAnsi="Times New Roman" w:cs="Times New Roman"/>
          <w:sz w:val="28"/>
          <w:szCs w:val="28"/>
          <w:lang w:val="es-MX"/>
        </w:rPr>
        <w:t xml:space="preserve"> cực đổi mới thủ tục giao dịch;</w:t>
      </w:r>
      <w:r w:rsidR="0020597C">
        <w:rPr>
          <w:rFonts w:ascii="Times New Roman" w:eastAsia="Times New Roman" w:hAnsi="Times New Roman" w:cs="Times New Roman"/>
          <w:sz w:val="28"/>
          <w:szCs w:val="28"/>
          <w:lang w:val="nl-NL"/>
        </w:rPr>
        <w:t xml:space="preserve"> </w:t>
      </w:r>
      <w:r w:rsidR="0020597C" w:rsidRPr="005464F9">
        <w:rPr>
          <w:rFonts w:ascii="Times New Roman" w:eastAsia="Times New Roman" w:hAnsi="Times New Roman" w:cs="Times New Roman"/>
          <w:sz w:val="28"/>
          <w:szCs w:val="28"/>
          <w:lang w:val="nl-NL"/>
        </w:rPr>
        <w:t>công bố</w:t>
      </w:r>
      <w:r w:rsidR="0020597C" w:rsidRPr="005464F9">
        <w:rPr>
          <w:rFonts w:ascii="Times New Roman" w:eastAsia="Times New Roman" w:hAnsi="Times New Roman" w:cs="Times New Roman"/>
          <w:sz w:val="28"/>
          <w:szCs w:val="28"/>
        </w:rPr>
        <w:t xml:space="preserve"> công khai trên Trang tin điện tử</w:t>
      </w:r>
      <w:r w:rsidR="0020597C" w:rsidRPr="005464F9">
        <w:rPr>
          <w:rFonts w:ascii="Times New Roman" w:eastAsia="Times New Roman" w:hAnsi="Times New Roman" w:cs="Times New Roman"/>
          <w:sz w:val="28"/>
          <w:szCs w:val="28"/>
          <w:lang w:val="es-MX"/>
        </w:rPr>
        <w:t xml:space="preserve"> các thông tin </w:t>
      </w:r>
      <w:r w:rsidR="0020597C" w:rsidRPr="005464F9">
        <w:rPr>
          <w:rFonts w:ascii="Times New Roman" w:eastAsia="Times New Roman" w:hAnsi="Times New Roman" w:cs="Times New Roman"/>
          <w:sz w:val="28"/>
          <w:szCs w:val="28"/>
          <w:lang w:val="nl-NL"/>
        </w:rPr>
        <w:t>về hồ sơ tín dụng, dịch vụ</w:t>
      </w:r>
      <w:r w:rsidR="001325C8">
        <w:rPr>
          <w:rFonts w:ascii="Times New Roman" w:eastAsia="Times New Roman" w:hAnsi="Times New Roman" w:cs="Times New Roman"/>
          <w:sz w:val="28"/>
          <w:szCs w:val="28"/>
          <w:lang w:val="nl-NL"/>
        </w:rPr>
        <w:t>,</w:t>
      </w:r>
      <w:r w:rsidR="0020597C" w:rsidRPr="005464F9">
        <w:rPr>
          <w:rFonts w:ascii="Times New Roman" w:eastAsia="Times New Roman" w:hAnsi="Times New Roman" w:cs="Times New Roman"/>
          <w:sz w:val="28"/>
          <w:szCs w:val="28"/>
          <w:lang w:val="nl-NL"/>
        </w:rPr>
        <w:t xml:space="preserve"> lãi suất, phí dịch vụ; </w:t>
      </w:r>
      <w:r w:rsidR="0020597C" w:rsidRPr="005464F9">
        <w:rPr>
          <w:rFonts w:ascii="Times New Roman" w:eastAsia="Times New Roman" w:hAnsi="Times New Roman" w:cs="Times New Roman"/>
          <w:sz w:val="28"/>
          <w:szCs w:val="28"/>
        </w:rPr>
        <w:t xml:space="preserve">quy định tiêu chuẩn chất lượng </w:t>
      </w:r>
      <w:r w:rsidR="0020597C" w:rsidRPr="005464F9">
        <w:rPr>
          <w:rFonts w:ascii="Times New Roman" w:eastAsia="Times New Roman" w:hAnsi="Times New Roman" w:cs="Times New Roman"/>
          <w:bCs/>
          <w:sz w:val="28"/>
          <w:szCs w:val="28"/>
        </w:rPr>
        <w:t>đối với các dịch vụ</w:t>
      </w:r>
      <w:r w:rsidR="002B3831">
        <w:rPr>
          <w:rFonts w:ascii="Times New Roman" w:eastAsia="Times New Roman" w:hAnsi="Times New Roman" w:cs="Times New Roman"/>
          <w:bCs/>
          <w:sz w:val="28"/>
          <w:szCs w:val="28"/>
        </w:rPr>
        <w:t>;</w:t>
      </w:r>
      <w:r w:rsidR="002B3831" w:rsidRPr="002B3831">
        <w:rPr>
          <w:rFonts w:ascii="Times New Roman" w:eastAsia="Arial" w:hAnsi="Times New Roman" w:cs="Times New Roman"/>
          <w:sz w:val="28"/>
          <w:szCs w:val="28"/>
          <w:lang w:val="es-MX"/>
        </w:rPr>
        <w:t xml:space="preserve"> </w:t>
      </w:r>
      <w:r w:rsidR="002B3831" w:rsidRPr="005464F9">
        <w:rPr>
          <w:rFonts w:ascii="Times New Roman" w:eastAsia="Arial" w:hAnsi="Times New Roman" w:cs="Times New Roman"/>
          <w:sz w:val="28"/>
          <w:szCs w:val="28"/>
          <w:lang w:val="es-MX"/>
        </w:rPr>
        <w:t xml:space="preserve">cắt bỏ nhiều loại phí cho </w:t>
      </w:r>
      <w:r w:rsidR="002B3831" w:rsidRPr="005464F9">
        <w:rPr>
          <w:rFonts w:ascii="Times New Roman" w:eastAsia="Arial" w:hAnsi="Times New Roman" w:cs="Times New Roman"/>
          <w:sz w:val="28"/>
          <w:szCs w:val="28"/>
          <w:lang w:val="es-MX"/>
        </w:rPr>
        <w:lastRenderedPageBreak/>
        <w:t xml:space="preserve">vay </w:t>
      </w:r>
      <w:r w:rsidR="002B3831">
        <w:rPr>
          <w:rFonts w:ascii="Times New Roman" w:eastAsia="Arial" w:hAnsi="Times New Roman" w:cs="Times New Roman"/>
          <w:sz w:val="28"/>
          <w:szCs w:val="28"/>
          <w:lang w:val="es-MX"/>
        </w:rPr>
        <w:t>không cần thiết.</w:t>
      </w:r>
      <w:r w:rsidR="0020597C">
        <w:rPr>
          <w:rFonts w:ascii="Times New Roman" w:eastAsia="Times New Roman" w:hAnsi="Times New Roman" w:cs="Times New Roman"/>
          <w:bCs/>
          <w:sz w:val="28"/>
          <w:szCs w:val="28"/>
          <w:lang w:val="es-MX"/>
        </w:rPr>
        <w:t xml:space="preserve"> Q</w:t>
      </w:r>
      <w:r w:rsidR="0020597C">
        <w:rPr>
          <w:rFonts w:ascii="Times New Roman" w:eastAsia="Arial" w:hAnsi="Times New Roman" w:cs="Times New Roman"/>
          <w:sz w:val="28"/>
          <w:szCs w:val="28"/>
          <w:lang w:val="es-MX"/>
        </w:rPr>
        <w:t>uy trình sản phẩm dịch vụ cho khách hàng được cải tiến thuận tiện, nhanh gọn hơn thông qua việc ứng dụng công nghệ (</w:t>
      </w:r>
      <w:r w:rsidR="0020597C" w:rsidRPr="00FE5D62">
        <w:rPr>
          <w:rFonts w:ascii="Times New Roman" w:eastAsia="Times New Roman" w:hAnsi="Times New Roman" w:cs="Times New Roman"/>
          <w:sz w:val="28"/>
          <w:szCs w:val="28"/>
        </w:rPr>
        <w:t>Internet Banking, Mobi</w:t>
      </w:r>
      <w:r w:rsidR="0020597C" w:rsidRPr="00FE5D62">
        <w:rPr>
          <w:rFonts w:ascii="Times New Roman" w:eastAsia="Times New Roman" w:hAnsi="Times New Roman" w:cs="Times New Roman"/>
          <w:sz w:val="28"/>
          <w:szCs w:val="28"/>
          <w:lang w:val="es-MX"/>
        </w:rPr>
        <w:t>l</w:t>
      </w:r>
      <w:r w:rsidR="0020597C" w:rsidRPr="00FE5D62">
        <w:rPr>
          <w:rFonts w:ascii="Times New Roman" w:eastAsia="Times New Roman" w:hAnsi="Times New Roman" w:cs="Times New Roman"/>
          <w:sz w:val="28"/>
          <w:szCs w:val="28"/>
        </w:rPr>
        <w:t>e Banking</w:t>
      </w:r>
      <w:r w:rsidR="0020597C">
        <w:rPr>
          <w:rFonts w:ascii="Times New Roman" w:eastAsia="Times New Roman" w:hAnsi="Times New Roman" w:cs="Times New Roman"/>
          <w:sz w:val="28"/>
          <w:szCs w:val="28"/>
        </w:rPr>
        <w:t>,...)</w:t>
      </w:r>
      <w:r w:rsidR="00DF4313">
        <w:rPr>
          <w:rFonts w:ascii="Times New Roman" w:eastAsia="Times New Roman" w:hAnsi="Times New Roman" w:cs="Times New Roman"/>
          <w:sz w:val="28"/>
          <w:szCs w:val="28"/>
        </w:rPr>
        <w:t>.</w:t>
      </w:r>
      <w:r w:rsidR="0020597C">
        <w:rPr>
          <w:rFonts w:ascii="Times New Roman" w:eastAsia="Times New Roman" w:hAnsi="Times New Roman" w:cs="Times New Roman"/>
          <w:sz w:val="28"/>
          <w:szCs w:val="28"/>
        </w:rPr>
        <w:t xml:space="preserve"> </w:t>
      </w:r>
      <w:r w:rsidR="0020597C">
        <w:rPr>
          <w:rFonts w:ascii="Times New Roman" w:eastAsia="Times New Roman" w:hAnsi="Times New Roman" w:cs="Times New Roman"/>
          <w:sz w:val="28"/>
          <w:szCs w:val="28"/>
          <w:lang w:val="es-MX"/>
        </w:rPr>
        <w:t>Theo thống kê, t</w:t>
      </w:r>
      <w:r w:rsidR="0020597C" w:rsidRPr="005464F9">
        <w:rPr>
          <w:rFonts w:ascii="Times New Roman" w:eastAsia="Times New Roman" w:hAnsi="Times New Roman" w:cs="Times New Roman"/>
          <w:sz w:val="28"/>
          <w:szCs w:val="28"/>
          <w:lang w:val="es-MX"/>
        </w:rPr>
        <w:t>hời gian, số lần giao dịch, giấy tờ cần cung cấp của khách hàng đã giảm 20-40%; Một số quy trình/sản phẩm dịch vụ đã giảm 42% số lượng bản gốc mẫu biểu, giảm 45% số lượng chữ ký khách hàng và 48% số lượng chữ ký cán bộ ngân hàng trên hồ sơ;</w:t>
      </w:r>
      <w:r w:rsidR="0020597C">
        <w:rPr>
          <w:rFonts w:ascii="Times New Roman" w:eastAsia="Times New Roman" w:hAnsi="Times New Roman" w:cs="Times New Roman"/>
          <w:sz w:val="28"/>
          <w:szCs w:val="28"/>
          <w:lang w:val="es-MX"/>
        </w:rPr>
        <w:t xml:space="preserve"> </w:t>
      </w:r>
      <w:r w:rsidR="0020597C" w:rsidRPr="00FE5D62">
        <w:rPr>
          <w:rFonts w:ascii="Times New Roman" w:eastAsia="Times New Roman" w:hAnsi="Times New Roman" w:cs="Times New Roman"/>
          <w:sz w:val="28"/>
          <w:szCs w:val="28"/>
          <w:lang w:val="es-MX"/>
        </w:rPr>
        <w:t>giảm 70-75% thời gian đăng ký</w:t>
      </w:r>
      <w:r w:rsidR="0020597C">
        <w:rPr>
          <w:rFonts w:ascii="Times New Roman" w:eastAsia="Times New Roman" w:hAnsi="Times New Roman" w:cs="Times New Roman"/>
          <w:sz w:val="28"/>
          <w:szCs w:val="28"/>
          <w:lang w:val="es-MX"/>
        </w:rPr>
        <w:t xml:space="preserve"> </w:t>
      </w:r>
      <w:r w:rsidR="0020597C" w:rsidRPr="005464F9">
        <w:rPr>
          <w:rFonts w:ascii="Times New Roman" w:eastAsia="Times New Roman" w:hAnsi="Times New Roman" w:cs="Times New Roman"/>
          <w:sz w:val="28"/>
          <w:szCs w:val="28"/>
          <w:lang w:val="es-MX"/>
        </w:rPr>
        <w:t>do khách hàng thực hiện trực tuyến</w:t>
      </w:r>
      <w:r w:rsidR="0020597C">
        <w:rPr>
          <w:rFonts w:ascii="Times New Roman" w:eastAsia="Times New Roman" w:hAnsi="Times New Roman" w:cs="Times New Roman"/>
          <w:sz w:val="28"/>
          <w:szCs w:val="28"/>
          <w:lang w:val="es-MX"/>
        </w:rPr>
        <w:t>...</w:t>
      </w:r>
    </w:p>
    <w:p w:rsidR="00F13BDA" w:rsidRDefault="00F13BDA" w:rsidP="0098596A">
      <w:pPr>
        <w:pStyle w:val="Normal1"/>
        <w:spacing w:before="60" w:beforeAutospacing="0" w:after="60" w:afterAutospacing="0" w:line="300" w:lineRule="atLeast"/>
        <w:ind w:firstLine="709"/>
        <w:jc w:val="both"/>
        <w:rPr>
          <w:rFonts w:asciiTheme="majorHAnsi" w:hAnsiTheme="majorHAnsi" w:cstheme="majorHAnsi"/>
          <w:sz w:val="28"/>
          <w:szCs w:val="28"/>
          <w:lang w:val="it-IT"/>
        </w:rPr>
      </w:pPr>
      <w:r w:rsidRPr="00B03B5E">
        <w:rPr>
          <w:spacing w:val="-4"/>
          <w:sz w:val="28"/>
          <w:szCs w:val="28"/>
          <w:lang w:val="pt-BR"/>
        </w:rPr>
        <w:t>Bên cạnh đó, ngành Ngân hàng tiếp tục đẩy mạnh triển khai có hiệu quả các chương trình kết nối ngân hàng - doanh nghiệp trên cả nước với nhiều giải pháp hỗ trợ trực tiếp như tăng cường cho vay mới, cơ cấu lại nợ vay, giảm lãi</w:t>
      </w:r>
      <w:r w:rsidRPr="000A380D">
        <w:rPr>
          <w:rFonts w:eastAsia="Arial"/>
          <w:sz w:val="28"/>
          <w:szCs w:val="28"/>
          <w:lang w:val="sv-SE"/>
        </w:rPr>
        <w:t xml:space="preserve"> suất cho </w:t>
      </w:r>
      <w:r>
        <w:rPr>
          <w:rFonts w:eastAsia="Arial"/>
          <w:sz w:val="28"/>
          <w:szCs w:val="28"/>
          <w:lang w:val="sv-SE"/>
        </w:rPr>
        <w:t xml:space="preserve">vay, </w:t>
      </w:r>
      <w:r>
        <w:rPr>
          <w:rFonts w:asciiTheme="majorHAnsi" w:hAnsiTheme="majorHAnsi" w:cstheme="majorHAnsi"/>
          <w:sz w:val="28"/>
          <w:szCs w:val="28"/>
          <w:lang w:val="it-IT"/>
        </w:rPr>
        <w:t xml:space="preserve">đa dạng hóa các sản phẩm tín dụng, xây dựng các chương trình tín dụng cụ thể hỗ trợ doanh nghiệp với lãi suất hợp lý, quy trình, thủ tục thuận tiện, minh bạch. </w:t>
      </w:r>
    </w:p>
    <w:p w:rsidR="001C34D8" w:rsidRPr="00CE577A" w:rsidRDefault="001C34D8" w:rsidP="0098596A">
      <w:pPr>
        <w:pStyle w:val="Boday"/>
        <w:spacing w:before="60" w:after="60" w:line="300" w:lineRule="atLeast"/>
        <w:rPr>
          <w:lang w:val="pt-BR"/>
        </w:rPr>
      </w:pPr>
      <w:r w:rsidRPr="006650EE">
        <w:rPr>
          <w:lang w:val="pt-BR"/>
        </w:rPr>
        <w:t>Những giải pháp mà ngành Ngân hàng đã và đang triển khai cho thấy ngành Ngân hàng luôn đặt lợi ích của doanh nghiệp trong mối quan hệ với lợi ích của ngân hàng, vì doanh nghiệp phát triển thì ngân hàng mới phát triển.</w:t>
      </w:r>
      <w:r>
        <w:rPr>
          <w:lang w:val="pt-BR"/>
        </w:rPr>
        <w:t xml:space="preserve"> Tại Hội nghị kết nối ngân hàng - doanh nghiệp đối với 13 tỉnh vùng ĐBSCL ngày 13/5/2017 vừa qua, nhiều doanh nghiệp cũng đã có ý kiến rất khách quan, công tâm, chia sẻ khó khăn với ngành Ngân hàng; trong đó cũng đã nhìn nhận một trong những nhân tố khiến doanh nghiệp</w:t>
      </w:r>
      <w:r w:rsidR="00DB0243">
        <w:rPr>
          <w:lang w:val="pt-BR"/>
        </w:rPr>
        <w:t>, nhất là DNNVV</w:t>
      </w:r>
      <w:r>
        <w:rPr>
          <w:lang w:val="pt-BR"/>
        </w:rPr>
        <w:t xml:space="preserve"> khó tiếp cận vốn là do năng lực tài chính, </w:t>
      </w:r>
      <w:r w:rsidR="00DB0243">
        <w:rPr>
          <w:lang w:val="pt-BR"/>
        </w:rPr>
        <w:t xml:space="preserve">năng lực </w:t>
      </w:r>
      <w:r>
        <w:rPr>
          <w:lang w:val="pt-BR"/>
        </w:rPr>
        <w:t xml:space="preserve">quản trị điều hành của doanh nghiệp còn nhiều yếu kém. Bên cạnh đó, </w:t>
      </w:r>
      <w:r w:rsidRPr="001074F4">
        <w:rPr>
          <w:lang w:val="pt-BR"/>
        </w:rPr>
        <w:t>những khó khăn vướng mắc trong xử lý tài sản bảo đảm thu hồi nợ</w:t>
      </w:r>
      <w:r w:rsidR="00E14E0C">
        <w:rPr>
          <w:lang w:val="pt-BR"/>
        </w:rPr>
        <w:t>, vấn đề hình sự hóa quan hệ kinh tế của một số trường hợp</w:t>
      </w:r>
      <w:r w:rsidRPr="001074F4">
        <w:rPr>
          <w:lang w:val="pt-BR"/>
        </w:rPr>
        <w:t xml:space="preserve"> </w:t>
      </w:r>
      <w:r>
        <w:rPr>
          <w:lang w:val="pt-BR"/>
        </w:rPr>
        <w:t>cũng khiến</w:t>
      </w:r>
      <w:r w:rsidRPr="001074F4">
        <w:rPr>
          <w:lang w:val="pt-BR"/>
        </w:rPr>
        <w:t xml:space="preserve"> các NHTM thận trọng hơn trong cho vay</w:t>
      </w:r>
      <w:r>
        <w:rPr>
          <w:lang w:val="pt-BR"/>
        </w:rPr>
        <w:t>.</w:t>
      </w:r>
    </w:p>
    <w:p w:rsidR="00AA140B" w:rsidRDefault="00AA140B" w:rsidP="0098596A">
      <w:pPr>
        <w:pStyle w:val="Normal1"/>
        <w:spacing w:before="60" w:beforeAutospacing="0" w:after="60" w:afterAutospacing="0" w:line="300" w:lineRule="atLeast"/>
        <w:ind w:firstLine="709"/>
        <w:jc w:val="both"/>
        <w:rPr>
          <w:rFonts w:asciiTheme="majorHAnsi" w:hAnsiTheme="majorHAnsi" w:cstheme="majorHAnsi"/>
          <w:sz w:val="28"/>
          <w:szCs w:val="28"/>
          <w:lang w:val="it-IT"/>
        </w:rPr>
      </w:pPr>
      <w:r>
        <w:rPr>
          <w:rFonts w:asciiTheme="majorHAnsi" w:hAnsiTheme="majorHAnsi" w:cstheme="majorHAnsi"/>
          <w:sz w:val="28"/>
          <w:szCs w:val="28"/>
          <w:lang w:val="it-IT"/>
        </w:rPr>
        <w:t xml:space="preserve">Trong thời gian tới, NHNN sẽ tiếp tục quan tâm, </w:t>
      </w:r>
      <w:r w:rsidR="00232FCB">
        <w:rPr>
          <w:rFonts w:asciiTheme="majorHAnsi" w:hAnsiTheme="majorHAnsi" w:cstheme="majorHAnsi"/>
          <w:sz w:val="28"/>
          <w:szCs w:val="28"/>
          <w:lang w:val="it-IT"/>
        </w:rPr>
        <w:t xml:space="preserve">chỉ đạo các TCTD tập trung triển khai có hiệu quả các giải pháp tháo gỡ khó khăn, tạo điều kiện thuận lợi cho doanh nghiệp, nhất là DNNVV trong việc tiếp cận vốn ngân hàng, trong đó đặc biệt là cải </w:t>
      </w:r>
      <w:r w:rsidR="00367359">
        <w:rPr>
          <w:rFonts w:asciiTheme="majorHAnsi" w:hAnsiTheme="majorHAnsi" w:cstheme="majorHAnsi"/>
          <w:sz w:val="28"/>
          <w:szCs w:val="28"/>
          <w:lang w:val="it-IT"/>
        </w:rPr>
        <w:t>tiến quy trình, thủ tục vay vốn;</w:t>
      </w:r>
      <w:r w:rsidR="00493DDE">
        <w:rPr>
          <w:rFonts w:asciiTheme="majorHAnsi" w:hAnsiTheme="majorHAnsi" w:cstheme="majorHAnsi"/>
          <w:sz w:val="28"/>
          <w:szCs w:val="28"/>
          <w:lang w:val="it-IT"/>
        </w:rPr>
        <w:t xml:space="preserve"> tăng cường cho vay tín chấp. Tiếp tục phối hợp với chính quyền địa phương </w:t>
      </w:r>
      <w:r w:rsidR="00ED29F0">
        <w:rPr>
          <w:rFonts w:asciiTheme="majorHAnsi" w:hAnsiTheme="majorHAnsi" w:cstheme="majorHAnsi"/>
          <w:sz w:val="28"/>
          <w:szCs w:val="28"/>
          <w:lang w:val="it-IT"/>
        </w:rPr>
        <w:t>đẩy mạnh triển khai</w:t>
      </w:r>
      <w:r w:rsidR="00493DDE">
        <w:rPr>
          <w:rFonts w:asciiTheme="majorHAnsi" w:hAnsiTheme="majorHAnsi" w:cstheme="majorHAnsi"/>
          <w:sz w:val="28"/>
          <w:szCs w:val="28"/>
          <w:lang w:val="it-IT"/>
        </w:rPr>
        <w:t xml:space="preserve"> chương trình kết nối ngân hàng - doanh nghiệp</w:t>
      </w:r>
      <w:r w:rsidR="00ED29F0">
        <w:rPr>
          <w:rFonts w:asciiTheme="majorHAnsi" w:hAnsiTheme="majorHAnsi" w:cstheme="majorHAnsi"/>
          <w:sz w:val="28"/>
          <w:szCs w:val="28"/>
          <w:lang w:val="it-IT"/>
        </w:rPr>
        <w:t>;</w:t>
      </w:r>
      <w:r w:rsidR="00232FCB">
        <w:rPr>
          <w:rFonts w:asciiTheme="majorHAnsi" w:hAnsiTheme="majorHAnsi" w:cstheme="majorHAnsi"/>
          <w:sz w:val="28"/>
          <w:szCs w:val="28"/>
          <w:lang w:val="it-IT"/>
        </w:rPr>
        <w:t xml:space="preserve"> đồng thời phối hợp chặt chẽ với các Bộ, ngành</w:t>
      </w:r>
      <w:r w:rsidR="00367359">
        <w:rPr>
          <w:rFonts w:asciiTheme="majorHAnsi" w:hAnsiTheme="majorHAnsi" w:cstheme="majorHAnsi"/>
          <w:sz w:val="28"/>
          <w:szCs w:val="28"/>
          <w:lang w:val="it-IT"/>
        </w:rPr>
        <w:t>, địa phương</w:t>
      </w:r>
      <w:r w:rsidR="00232FCB">
        <w:rPr>
          <w:rFonts w:asciiTheme="majorHAnsi" w:hAnsiTheme="majorHAnsi" w:cstheme="majorHAnsi"/>
          <w:sz w:val="28"/>
          <w:szCs w:val="28"/>
          <w:lang w:val="it-IT"/>
        </w:rPr>
        <w:t xml:space="preserve"> liên quan xử lý triệt để những vướng mắc trong việc xử lý tài sản bảo đảm, </w:t>
      </w:r>
      <w:r w:rsidR="00367359">
        <w:rPr>
          <w:rFonts w:asciiTheme="majorHAnsi" w:hAnsiTheme="majorHAnsi" w:cstheme="majorHAnsi"/>
          <w:sz w:val="28"/>
          <w:szCs w:val="28"/>
          <w:lang w:val="it-IT"/>
        </w:rPr>
        <w:t>nâng cao hiệu quả hoạt động của Quỹ bảo lãnh tín dụng cho DNNVV.</w:t>
      </w:r>
    </w:p>
    <w:p w:rsidR="00872697" w:rsidRDefault="00AA140B" w:rsidP="0098596A">
      <w:pPr>
        <w:pStyle w:val="Normal1"/>
        <w:spacing w:before="60" w:beforeAutospacing="0" w:after="60" w:afterAutospacing="0" w:line="300" w:lineRule="atLeast"/>
        <w:ind w:firstLine="709"/>
        <w:jc w:val="both"/>
        <w:rPr>
          <w:rFonts w:asciiTheme="majorHAnsi" w:hAnsiTheme="majorHAnsi" w:cstheme="majorHAnsi"/>
          <w:sz w:val="28"/>
          <w:szCs w:val="28"/>
          <w:lang w:val="it-IT"/>
        </w:rPr>
      </w:pPr>
      <w:r w:rsidRPr="00F06455">
        <w:rPr>
          <w:rFonts w:asciiTheme="majorHAnsi" w:hAnsiTheme="majorHAnsi" w:cstheme="majorHAnsi"/>
          <w:b/>
          <w:sz w:val="28"/>
          <w:szCs w:val="28"/>
          <w:lang w:val="it-IT"/>
        </w:rPr>
        <w:t>5.</w:t>
      </w:r>
      <w:r w:rsidRPr="00F06455">
        <w:rPr>
          <w:rFonts w:asciiTheme="majorHAnsi" w:hAnsiTheme="majorHAnsi" w:cstheme="majorHAnsi"/>
          <w:sz w:val="28"/>
          <w:szCs w:val="28"/>
          <w:lang w:val="it-IT"/>
        </w:rPr>
        <w:t xml:space="preserve"> </w:t>
      </w:r>
      <w:r w:rsidR="003711DA" w:rsidRPr="00791148">
        <w:rPr>
          <w:rFonts w:asciiTheme="majorHAnsi" w:hAnsiTheme="majorHAnsi" w:cstheme="majorHAnsi"/>
          <w:i/>
          <w:sz w:val="28"/>
          <w:szCs w:val="28"/>
          <w:lang w:val="it-IT"/>
        </w:rPr>
        <w:t xml:space="preserve">Về kiến nghị của các doanh nghiệp liên quan đến hoạt động ngân hàng, </w:t>
      </w:r>
      <w:r w:rsidR="003711DA" w:rsidRPr="00F06455">
        <w:rPr>
          <w:rFonts w:asciiTheme="majorHAnsi" w:hAnsiTheme="majorHAnsi" w:cstheme="majorHAnsi"/>
          <w:sz w:val="28"/>
          <w:szCs w:val="28"/>
          <w:lang w:val="it-IT"/>
        </w:rPr>
        <w:t xml:space="preserve">trong 4 tháng đầu năm 2017, </w:t>
      </w:r>
      <w:r w:rsidR="00B03C8C" w:rsidRPr="00F06455">
        <w:rPr>
          <w:rFonts w:asciiTheme="majorHAnsi" w:hAnsiTheme="majorHAnsi" w:cstheme="majorHAnsi"/>
          <w:sz w:val="28"/>
          <w:szCs w:val="28"/>
          <w:lang w:val="it-IT"/>
        </w:rPr>
        <w:t xml:space="preserve">NHNN đã nhận được </w:t>
      </w:r>
      <w:r w:rsidR="003711DA" w:rsidRPr="00F06455">
        <w:rPr>
          <w:rFonts w:asciiTheme="majorHAnsi" w:hAnsiTheme="majorHAnsi" w:cstheme="majorHAnsi"/>
          <w:sz w:val="28"/>
          <w:szCs w:val="28"/>
          <w:lang w:val="it-IT"/>
        </w:rPr>
        <w:t xml:space="preserve">17 kiến nghị của doanh nghiệp gửi đến Hệ thống tiếp nhận, trả lời kiến nghị của doanh nghiệp và 12 kiến nghị do VCCI tổng hợp. Đến nay, ngành Ngân hàng đã có văn bản trả lời đầy đủ các kiến nghị này và Chính phủ đã đăng công khai trên Hệ thống tiếp nhận, trả lời kiến nghị của doanh nghiệp. </w:t>
      </w:r>
      <w:r w:rsidR="00963BA4">
        <w:rPr>
          <w:rFonts w:asciiTheme="majorHAnsi" w:hAnsiTheme="majorHAnsi" w:cstheme="majorHAnsi"/>
          <w:sz w:val="28"/>
          <w:szCs w:val="28"/>
          <w:lang w:val="it-IT"/>
        </w:rPr>
        <w:t>Các kiến nghị này đều tập trung vào một số vấn đề đã được báo cáo trên đây.</w:t>
      </w:r>
    </w:p>
    <w:p w:rsidR="003711DA" w:rsidRDefault="003711DA" w:rsidP="0098596A">
      <w:pPr>
        <w:pStyle w:val="Normal1"/>
        <w:spacing w:before="60" w:beforeAutospacing="0" w:after="60" w:afterAutospacing="0" w:line="300" w:lineRule="atLeast"/>
        <w:ind w:firstLine="709"/>
        <w:jc w:val="both"/>
        <w:rPr>
          <w:rFonts w:asciiTheme="majorHAnsi" w:hAnsiTheme="majorHAnsi" w:cstheme="majorHAnsi"/>
          <w:sz w:val="28"/>
          <w:szCs w:val="28"/>
          <w:lang w:val="it-IT"/>
        </w:rPr>
      </w:pPr>
      <w:r w:rsidRPr="00F06455">
        <w:rPr>
          <w:rFonts w:asciiTheme="majorHAnsi" w:hAnsiTheme="majorHAnsi" w:cstheme="majorHAnsi"/>
          <w:sz w:val="28"/>
          <w:szCs w:val="28"/>
          <w:lang w:val="it-IT"/>
        </w:rPr>
        <w:t xml:space="preserve">Trong thời gian tới, NHNN sẽ tiếp tục đồng hành cùng doanh nghiệp, lắng nghe, tiếp nhận các ý kiến, kiến nghị của doanh nghiệp thông qua các cuộc đối thoại trực tiếp cũng như các kênh thông tin, </w:t>
      </w:r>
      <w:r w:rsidR="00585094" w:rsidRPr="00F06455">
        <w:rPr>
          <w:rFonts w:asciiTheme="majorHAnsi" w:hAnsiTheme="majorHAnsi" w:cstheme="majorHAnsi"/>
          <w:sz w:val="28"/>
          <w:szCs w:val="28"/>
          <w:lang w:val="it-IT"/>
        </w:rPr>
        <w:t xml:space="preserve">nhằm kịp thời giải đáp, tháo gỡ khó khăn; đồng thời, </w:t>
      </w:r>
      <w:r w:rsidRPr="00F06455">
        <w:rPr>
          <w:rFonts w:asciiTheme="majorHAnsi" w:hAnsiTheme="majorHAnsi" w:cstheme="majorHAnsi"/>
          <w:sz w:val="28"/>
          <w:szCs w:val="28"/>
          <w:lang w:val="it-IT"/>
        </w:rPr>
        <w:t>nghiên cứ</w:t>
      </w:r>
      <w:r w:rsidR="00585094" w:rsidRPr="00F06455">
        <w:rPr>
          <w:rFonts w:asciiTheme="majorHAnsi" w:hAnsiTheme="majorHAnsi" w:cstheme="majorHAnsi"/>
          <w:sz w:val="28"/>
          <w:szCs w:val="28"/>
          <w:lang w:val="it-IT"/>
        </w:rPr>
        <w:t>u, chỉnh sửa cơ chế chính sách đảm bảo phù hợp với thực tiễn, hỗ trợ doanh nghiệp phát triển.</w:t>
      </w:r>
    </w:p>
    <w:p w:rsidR="00E67A65" w:rsidRPr="00B76769" w:rsidRDefault="00E87F52" w:rsidP="0098596A">
      <w:pPr>
        <w:pStyle w:val="Normal1"/>
        <w:spacing w:before="60" w:beforeAutospacing="0" w:after="60" w:afterAutospacing="0" w:line="300" w:lineRule="atLeast"/>
        <w:ind w:firstLine="709"/>
        <w:jc w:val="both"/>
        <w:rPr>
          <w:spacing w:val="-4"/>
          <w:sz w:val="28"/>
          <w:szCs w:val="28"/>
          <w:lang w:val="es-NI"/>
        </w:rPr>
      </w:pPr>
      <w:r>
        <w:rPr>
          <w:rFonts w:asciiTheme="majorHAnsi" w:hAnsiTheme="majorHAnsi" w:cstheme="majorHAnsi"/>
          <w:sz w:val="28"/>
          <w:szCs w:val="28"/>
          <w:lang w:val="it-IT"/>
        </w:rPr>
        <w:t>Xin trân trọng cảm ơn các đồng chí!</w:t>
      </w:r>
      <w:bookmarkStart w:id="0" w:name="_GoBack"/>
      <w:bookmarkEnd w:id="0"/>
    </w:p>
    <w:sectPr w:rsidR="00E67A65" w:rsidRPr="00B76769" w:rsidSect="0098596A">
      <w:footerReference w:type="default" r:id="rId9"/>
      <w:pgSz w:w="11906" w:h="16838"/>
      <w:pgMar w:top="720" w:right="1021" w:bottom="900" w:left="1701"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F1" w:rsidRDefault="00E308F1" w:rsidP="00CB4CBE">
      <w:pPr>
        <w:spacing w:after="0" w:line="240" w:lineRule="auto"/>
      </w:pPr>
      <w:r>
        <w:separator/>
      </w:r>
    </w:p>
  </w:endnote>
  <w:endnote w:type="continuationSeparator" w:id="0">
    <w:p w:rsidR="00E308F1" w:rsidRDefault="00E308F1" w:rsidP="00CB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8785"/>
      <w:docPartObj>
        <w:docPartGallery w:val="Page Numbers (Bottom of Page)"/>
        <w:docPartUnique/>
      </w:docPartObj>
    </w:sdtPr>
    <w:sdtEndPr/>
    <w:sdtContent>
      <w:p w:rsidR="0094667F" w:rsidRDefault="0021535B">
        <w:pPr>
          <w:pStyle w:val="Footer"/>
          <w:jc w:val="center"/>
        </w:pPr>
        <w:r w:rsidRPr="00CB4CBE">
          <w:rPr>
            <w:rFonts w:ascii="Times New Roman" w:hAnsi="Times New Roman" w:cs="Times New Roman"/>
            <w:sz w:val="24"/>
            <w:szCs w:val="24"/>
          </w:rPr>
          <w:fldChar w:fldCharType="begin"/>
        </w:r>
        <w:r w:rsidR="0094667F" w:rsidRPr="00CB4CBE">
          <w:rPr>
            <w:rFonts w:ascii="Times New Roman" w:hAnsi="Times New Roman" w:cs="Times New Roman"/>
            <w:sz w:val="24"/>
            <w:szCs w:val="24"/>
          </w:rPr>
          <w:instrText xml:space="preserve"> PAGE   \* MERGEFORMAT </w:instrText>
        </w:r>
        <w:r w:rsidRPr="00CB4CBE">
          <w:rPr>
            <w:rFonts w:ascii="Times New Roman" w:hAnsi="Times New Roman" w:cs="Times New Roman"/>
            <w:sz w:val="24"/>
            <w:szCs w:val="24"/>
          </w:rPr>
          <w:fldChar w:fldCharType="separate"/>
        </w:r>
        <w:r w:rsidR="0098596A">
          <w:rPr>
            <w:rFonts w:ascii="Times New Roman" w:hAnsi="Times New Roman" w:cs="Times New Roman"/>
            <w:noProof/>
            <w:sz w:val="24"/>
            <w:szCs w:val="24"/>
          </w:rPr>
          <w:t>5</w:t>
        </w:r>
        <w:r w:rsidRPr="00CB4CBE">
          <w:rPr>
            <w:rFonts w:ascii="Times New Roman" w:hAnsi="Times New Roman" w:cs="Times New Roman"/>
            <w:sz w:val="24"/>
            <w:szCs w:val="24"/>
          </w:rPr>
          <w:fldChar w:fldCharType="end"/>
        </w:r>
      </w:p>
    </w:sdtContent>
  </w:sdt>
  <w:p w:rsidR="0094667F" w:rsidRDefault="00946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F1" w:rsidRDefault="00E308F1" w:rsidP="00CB4CBE">
      <w:pPr>
        <w:spacing w:after="0" w:line="240" w:lineRule="auto"/>
      </w:pPr>
      <w:r>
        <w:separator/>
      </w:r>
    </w:p>
  </w:footnote>
  <w:footnote w:type="continuationSeparator" w:id="0">
    <w:p w:rsidR="00E308F1" w:rsidRDefault="00E308F1" w:rsidP="00CB4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0AEB"/>
    <w:multiLevelType w:val="hybridMultilevel"/>
    <w:tmpl w:val="2D3CDE9A"/>
    <w:lvl w:ilvl="0" w:tplc="526C7F88">
      <w:start w:val="5"/>
      <w:numFmt w:val="bullet"/>
      <w:lvlText w:val="-"/>
      <w:lvlJc w:val="left"/>
      <w:pPr>
        <w:ind w:left="720" w:hanging="360"/>
      </w:pPr>
      <w:rPr>
        <w:rFonts w:ascii="Times New Roman" w:eastAsiaTheme="minorHAnsi"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5907E0"/>
    <w:multiLevelType w:val="hybridMultilevel"/>
    <w:tmpl w:val="17683E5E"/>
    <w:lvl w:ilvl="0" w:tplc="E7E83B2A">
      <w:start w:val="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BF41585"/>
    <w:multiLevelType w:val="hybridMultilevel"/>
    <w:tmpl w:val="42F2CDFA"/>
    <w:lvl w:ilvl="0" w:tplc="3F1C7F5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55F7826"/>
    <w:multiLevelType w:val="hybridMultilevel"/>
    <w:tmpl w:val="0A666886"/>
    <w:lvl w:ilvl="0" w:tplc="F8428A3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31C033D"/>
    <w:multiLevelType w:val="hybridMultilevel"/>
    <w:tmpl w:val="872639EA"/>
    <w:lvl w:ilvl="0" w:tplc="74FEAEB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79A6315A"/>
    <w:multiLevelType w:val="hybridMultilevel"/>
    <w:tmpl w:val="076650A0"/>
    <w:lvl w:ilvl="0" w:tplc="251061A8">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37"/>
    <w:rsid w:val="0000139B"/>
    <w:rsid w:val="0000404F"/>
    <w:rsid w:val="00010149"/>
    <w:rsid w:val="000105DC"/>
    <w:rsid w:val="00011726"/>
    <w:rsid w:val="00016018"/>
    <w:rsid w:val="000172C5"/>
    <w:rsid w:val="00020262"/>
    <w:rsid w:val="0002597D"/>
    <w:rsid w:val="00026406"/>
    <w:rsid w:val="00030834"/>
    <w:rsid w:val="00031F49"/>
    <w:rsid w:val="000325F5"/>
    <w:rsid w:val="0003741F"/>
    <w:rsid w:val="00045F3A"/>
    <w:rsid w:val="00047BE4"/>
    <w:rsid w:val="00047CAA"/>
    <w:rsid w:val="00050A24"/>
    <w:rsid w:val="00053E89"/>
    <w:rsid w:val="00056720"/>
    <w:rsid w:val="00057A9A"/>
    <w:rsid w:val="00057B15"/>
    <w:rsid w:val="0006306E"/>
    <w:rsid w:val="000634CA"/>
    <w:rsid w:val="00064C35"/>
    <w:rsid w:val="00066EB4"/>
    <w:rsid w:val="00066F34"/>
    <w:rsid w:val="00070E69"/>
    <w:rsid w:val="00070E8F"/>
    <w:rsid w:val="00072050"/>
    <w:rsid w:val="00073E14"/>
    <w:rsid w:val="00075953"/>
    <w:rsid w:val="000759FD"/>
    <w:rsid w:val="000779B4"/>
    <w:rsid w:val="000816B4"/>
    <w:rsid w:val="0008217D"/>
    <w:rsid w:val="00085F63"/>
    <w:rsid w:val="0008754D"/>
    <w:rsid w:val="00090808"/>
    <w:rsid w:val="00090A43"/>
    <w:rsid w:val="00091E9D"/>
    <w:rsid w:val="00092487"/>
    <w:rsid w:val="00093FF9"/>
    <w:rsid w:val="00094F7F"/>
    <w:rsid w:val="00095048"/>
    <w:rsid w:val="0009691C"/>
    <w:rsid w:val="00096A84"/>
    <w:rsid w:val="000A2F7E"/>
    <w:rsid w:val="000A2FEA"/>
    <w:rsid w:val="000A380D"/>
    <w:rsid w:val="000A58C4"/>
    <w:rsid w:val="000A5B69"/>
    <w:rsid w:val="000B1EB0"/>
    <w:rsid w:val="000B2F2F"/>
    <w:rsid w:val="000B4F99"/>
    <w:rsid w:val="000B6615"/>
    <w:rsid w:val="000C27EA"/>
    <w:rsid w:val="000C3997"/>
    <w:rsid w:val="000C3C92"/>
    <w:rsid w:val="000C44F0"/>
    <w:rsid w:val="000C4632"/>
    <w:rsid w:val="000D1A67"/>
    <w:rsid w:val="000D3EDF"/>
    <w:rsid w:val="000E1165"/>
    <w:rsid w:val="000E1230"/>
    <w:rsid w:val="000E153B"/>
    <w:rsid w:val="000E173D"/>
    <w:rsid w:val="000E1B62"/>
    <w:rsid w:val="000E7502"/>
    <w:rsid w:val="000E7977"/>
    <w:rsid w:val="000F2992"/>
    <w:rsid w:val="0010499F"/>
    <w:rsid w:val="001056FD"/>
    <w:rsid w:val="00112D3F"/>
    <w:rsid w:val="00115551"/>
    <w:rsid w:val="0011635E"/>
    <w:rsid w:val="00130BAF"/>
    <w:rsid w:val="0013188E"/>
    <w:rsid w:val="001325C8"/>
    <w:rsid w:val="001348FC"/>
    <w:rsid w:val="00134D38"/>
    <w:rsid w:val="00141551"/>
    <w:rsid w:val="001452C6"/>
    <w:rsid w:val="0015137C"/>
    <w:rsid w:val="00152F98"/>
    <w:rsid w:val="00153058"/>
    <w:rsid w:val="001541FF"/>
    <w:rsid w:val="0015695A"/>
    <w:rsid w:val="0015786E"/>
    <w:rsid w:val="0016272B"/>
    <w:rsid w:val="001643E0"/>
    <w:rsid w:val="00167E98"/>
    <w:rsid w:val="00172B68"/>
    <w:rsid w:val="00174871"/>
    <w:rsid w:val="00176869"/>
    <w:rsid w:val="00183C04"/>
    <w:rsid w:val="00190627"/>
    <w:rsid w:val="0019505C"/>
    <w:rsid w:val="001967E8"/>
    <w:rsid w:val="001A0267"/>
    <w:rsid w:val="001A0337"/>
    <w:rsid w:val="001A2978"/>
    <w:rsid w:val="001A336A"/>
    <w:rsid w:val="001A42FE"/>
    <w:rsid w:val="001B22D8"/>
    <w:rsid w:val="001B322D"/>
    <w:rsid w:val="001B3EBD"/>
    <w:rsid w:val="001B5735"/>
    <w:rsid w:val="001B65F7"/>
    <w:rsid w:val="001B6FCC"/>
    <w:rsid w:val="001C2778"/>
    <w:rsid w:val="001C2B0F"/>
    <w:rsid w:val="001C322B"/>
    <w:rsid w:val="001C3388"/>
    <w:rsid w:val="001C34D8"/>
    <w:rsid w:val="001C4B5F"/>
    <w:rsid w:val="001C7206"/>
    <w:rsid w:val="001D043E"/>
    <w:rsid w:val="001D6221"/>
    <w:rsid w:val="001D6B2D"/>
    <w:rsid w:val="001D6EA9"/>
    <w:rsid w:val="001E56A2"/>
    <w:rsid w:val="001E6928"/>
    <w:rsid w:val="001F06C4"/>
    <w:rsid w:val="001F49C3"/>
    <w:rsid w:val="00201611"/>
    <w:rsid w:val="00201C46"/>
    <w:rsid w:val="0020266C"/>
    <w:rsid w:val="0020597C"/>
    <w:rsid w:val="002123B3"/>
    <w:rsid w:val="0021535B"/>
    <w:rsid w:val="00217657"/>
    <w:rsid w:val="00221347"/>
    <w:rsid w:val="0022501D"/>
    <w:rsid w:val="002255D8"/>
    <w:rsid w:val="00227894"/>
    <w:rsid w:val="00232FCB"/>
    <w:rsid w:val="00233836"/>
    <w:rsid w:val="00235774"/>
    <w:rsid w:val="002407EC"/>
    <w:rsid w:val="00244B8A"/>
    <w:rsid w:val="00246B36"/>
    <w:rsid w:val="00252DC3"/>
    <w:rsid w:val="00253E4B"/>
    <w:rsid w:val="00254C12"/>
    <w:rsid w:val="002604B5"/>
    <w:rsid w:val="00261757"/>
    <w:rsid w:val="00261EA2"/>
    <w:rsid w:val="00264146"/>
    <w:rsid w:val="0026446C"/>
    <w:rsid w:val="0026495B"/>
    <w:rsid w:val="00267361"/>
    <w:rsid w:val="00272980"/>
    <w:rsid w:val="00274D2B"/>
    <w:rsid w:val="00281D69"/>
    <w:rsid w:val="002910C7"/>
    <w:rsid w:val="002A503A"/>
    <w:rsid w:val="002A5848"/>
    <w:rsid w:val="002A7266"/>
    <w:rsid w:val="002B3831"/>
    <w:rsid w:val="002B3BB4"/>
    <w:rsid w:val="002C1270"/>
    <w:rsid w:val="002C3165"/>
    <w:rsid w:val="002C5B97"/>
    <w:rsid w:val="002C6F64"/>
    <w:rsid w:val="002D0D2C"/>
    <w:rsid w:val="002D2DCA"/>
    <w:rsid w:val="002E3DCF"/>
    <w:rsid w:val="002E5CEE"/>
    <w:rsid w:val="002E6D74"/>
    <w:rsid w:val="002F0E5F"/>
    <w:rsid w:val="002F25A9"/>
    <w:rsid w:val="002F2F5F"/>
    <w:rsid w:val="002F4184"/>
    <w:rsid w:val="002F6A3C"/>
    <w:rsid w:val="003000F2"/>
    <w:rsid w:val="0030369D"/>
    <w:rsid w:val="003049B6"/>
    <w:rsid w:val="00311133"/>
    <w:rsid w:val="0031120E"/>
    <w:rsid w:val="00312822"/>
    <w:rsid w:val="00313A75"/>
    <w:rsid w:val="00320A5D"/>
    <w:rsid w:val="00326838"/>
    <w:rsid w:val="00330C28"/>
    <w:rsid w:val="00332815"/>
    <w:rsid w:val="0033426C"/>
    <w:rsid w:val="00335941"/>
    <w:rsid w:val="003447EB"/>
    <w:rsid w:val="00345DBE"/>
    <w:rsid w:val="003463FF"/>
    <w:rsid w:val="00346C2F"/>
    <w:rsid w:val="00347ED0"/>
    <w:rsid w:val="00351E8D"/>
    <w:rsid w:val="003528E6"/>
    <w:rsid w:val="00352F88"/>
    <w:rsid w:val="00353F32"/>
    <w:rsid w:val="00354569"/>
    <w:rsid w:val="00360974"/>
    <w:rsid w:val="003644B1"/>
    <w:rsid w:val="00366EE1"/>
    <w:rsid w:val="00367359"/>
    <w:rsid w:val="00367EAA"/>
    <w:rsid w:val="003708C2"/>
    <w:rsid w:val="003711DA"/>
    <w:rsid w:val="00373EE9"/>
    <w:rsid w:val="003761D6"/>
    <w:rsid w:val="00376CD4"/>
    <w:rsid w:val="00377BA8"/>
    <w:rsid w:val="00377F2B"/>
    <w:rsid w:val="00380DCB"/>
    <w:rsid w:val="0038359A"/>
    <w:rsid w:val="003841EF"/>
    <w:rsid w:val="0038434B"/>
    <w:rsid w:val="0038516D"/>
    <w:rsid w:val="00385937"/>
    <w:rsid w:val="00387037"/>
    <w:rsid w:val="003905D6"/>
    <w:rsid w:val="003913F7"/>
    <w:rsid w:val="00396C56"/>
    <w:rsid w:val="00397F04"/>
    <w:rsid w:val="003A7AE6"/>
    <w:rsid w:val="003B134C"/>
    <w:rsid w:val="003B269B"/>
    <w:rsid w:val="003B32B6"/>
    <w:rsid w:val="003B3302"/>
    <w:rsid w:val="003B4D20"/>
    <w:rsid w:val="003B7C64"/>
    <w:rsid w:val="003C2320"/>
    <w:rsid w:val="003C2E51"/>
    <w:rsid w:val="003C644C"/>
    <w:rsid w:val="003E03F8"/>
    <w:rsid w:val="003E275C"/>
    <w:rsid w:val="003E3548"/>
    <w:rsid w:val="003E4188"/>
    <w:rsid w:val="003E7602"/>
    <w:rsid w:val="003F1D69"/>
    <w:rsid w:val="003F34B7"/>
    <w:rsid w:val="003F431A"/>
    <w:rsid w:val="00404A9E"/>
    <w:rsid w:val="00414052"/>
    <w:rsid w:val="0042136D"/>
    <w:rsid w:val="004214BC"/>
    <w:rsid w:val="00423A02"/>
    <w:rsid w:val="00424243"/>
    <w:rsid w:val="00424AE1"/>
    <w:rsid w:val="00431C21"/>
    <w:rsid w:val="004322AF"/>
    <w:rsid w:val="0043410E"/>
    <w:rsid w:val="00434E7C"/>
    <w:rsid w:val="00435D55"/>
    <w:rsid w:val="004409C1"/>
    <w:rsid w:val="00442D00"/>
    <w:rsid w:val="00443AF0"/>
    <w:rsid w:val="0044683F"/>
    <w:rsid w:val="00447CF1"/>
    <w:rsid w:val="00450C3C"/>
    <w:rsid w:val="004562A9"/>
    <w:rsid w:val="00461CF7"/>
    <w:rsid w:val="00463859"/>
    <w:rsid w:val="004668C0"/>
    <w:rsid w:val="004675A0"/>
    <w:rsid w:val="00470CDD"/>
    <w:rsid w:val="00470F4A"/>
    <w:rsid w:val="00472A73"/>
    <w:rsid w:val="00473FCB"/>
    <w:rsid w:val="004743B5"/>
    <w:rsid w:val="0048392E"/>
    <w:rsid w:val="00485184"/>
    <w:rsid w:val="004932C0"/>
    <w:rsid w:val="00493CB8"/>
    <w:rsid w:val="00493DDE"/>
    <w:rsid w:val="00494836"/>
    <w:rsid w:val="004A6FCA"/>
    <w:rsid w:val="004B507D"/>
    <w:rsid w:val="004B65A8"/>
    <w:rsid w:val="004C18CE"/>
    <w:rsid w:val="004C268D"/>
    <w:rsid w:val="004C3615"/>
    <w:rsid w:val="004C3626"/>
    <w:rsid w:val="004C4178"/>
    <w:rsid w:val="004C5996"/>
    <w:rsid w:val="004C6456"/>
    <w:rsid w:val="004C72F0"/>
    <w:rsid w:val="004D0AB3"/>
    <w:rsid w:val="004D0F6C"/>
    <w:rsid w:val="004D15A5"/>
    <w:rsid w:val="004D2007"/>
    <w:rsid w:val="004D33F0"/>
    <w:rsid w:val="004D4648"/>
    <w:rsid w:val="004D6195"/>
    <w:rsid w:val="004E0B89"/>
    <w:rsid w:val="004E2D40"/>
    <w:rsid w:val="004E34B2"/>
    <w:rsid w:val="004E69E9"/>
    <w:rsid w:val="004F1AF6"/>
    <w:rsid w:val="004F4F1D"/>
    <w:rsid w:val="004F5845"/>
    <w:rsid w:val="00503E5D"/>
    <w:rsid w:val="0050491E"/>
    <w:rsid w:val="0050777B"/>
    <w:rsid w:val="005103A5"/>
    <w:rsid w:val="00511672"/>
    <w:rsid w:val="0051203E"/>
    <w:rsid w:val="005168CF"/>
    <w:rsid w:val="005221F4"/>
    <w:rsid w:val="005243E3"/>
    <w:rsid w:val="00526BEB"/>
    <w:rsid w:val="005279E7"/>
    <w:rsid w:val="00527B17"/>
    <w:rsid w:val="0053012A"/>
    <w:rsid w:val="00530763"/>
    <w:rsid w:val="0054089E"/>
    <w:rsid w:val="00541042"/>
    <w:rsid w:val="00545DE9"/>
    <w:rsid w:val="005464F9"/>
    <w:rsid w:val="00546D34"/>
    <w:rsid w:val="00561AA0"/>
    <w:rsid w:val="005626B5"/>
    <w:rsid w:val="005627E5"/>
    <w:rsid w:val="00566FC8"/>
    <w:rsid w:val="0057042E"/>
    <w:rsid w:val="005724EC"/>
    <w:rsid w:val="00574431"/>
    <w:rsid w:val="0057511F"/>
    <w:rsid w:val="005760EE"/>
    <w:rsid w:val="00580C23"/>
    <w:rsid w:val="00581E94"/>
    <w:rsid w:val="005825CD"/>
    <w:rsid w:val="00583F1F"/>
    <w:rsid w:val="00585094"/>
    <w:rsid w:val="005863BA"/>
    <w:rsid w:val="005866F2"/>
    <w:rsid w:val="00591E5E"/>
    <w:rsid w:val="005946B6"/>
    <w:rsid w:val="005A1A6F"/>
    <w:rsid w:val="005A6CC6"/>
    <w:rsid w:val="005A733E"/>
    <w:rsid w:val="005B3F13"/>
    <w:rsid w:val="005B48FE"/>
    <w:rsid w:val="005C1DC5"/>
    <w:rsid w:val="005C6E5E"/>
    <w:rsid w:val="005D2D1B"/>
    <w:rsid w:val="005D2F3C"/>
    <w:rsid w:val="005D5E94"/>
    <w:rsid w:val="005D6D3D"/>
    <w:rsid w:val="005E2A11"/>
    <w:rsid w:val="005E478B"/>
    <w:rsid w:val="005E7ACF"/>
    <w:rsid w:val="005E7DA7"/>
    <w:rsid w:val="005F3692"/>
    <w:rsid w:val="006006D8"/>
    <w:rsid w:val="00607D84"/>
    <w:rsid w:val="0061059D"/>
    <w:rsid w:val="006170B0"/>
    <w:rsid w:val="006263BF"/>
    <w:rsid w:val="00626798"/>
    <w:rsid w:val="006330F0"/>
    <w:rsid w:val="00633678"/>
    <w:rsid w:val="00634856"/>
    <w:rsid w:val="00636B20"/>
    <w:rsid w:val="00637A2F"/>
    <w:rsid w:val="00637F1B"/>
    <w:rsid w:val="00646766"/>
    <w:rsid w:val="00646921"/>
    <w:rsid w:val="0064693E"/>
    <w:rsid w:val="006474D4"/>
    <w:rsid w:val="00651E08"/>
    <w:rsid w:val="0065342C"/>
    <w:rsid w:val="00661D93"/>
    <w:rsid w:val="006633E9"/>
    <w:rsid w:val="006639EF"/>
    <w:rsid w:val="00677212"/>
    <w:rsid w:val="0067777F"/>
    <w:rsid w:val="006822EF"/>
    <w:rsid w:val="0068383F"/>
    <w:rsid w:val="00687EFB"/>
    <w:rsid w:val="006907AC"/>
    <w:rsid w:val="0069094D"/>
    <w:rsid w:val="00691706"/>
    <w:rsid w:val="00693DB0"/>
    <w:rsid w:val="006963EA"/>
    <w:rsid w:val="00697503"/>
    <w:rsid w:val="00697E77"/>
    <w:rsid w:val="006A51E7"/>
    <w:rsid w:val="006B4804"/>
    <w:rsid w:val="006B7AA8"/>
    <w:rsid w:val="006C0165"/>
    <w:rsid w:val="006C3B45"/>
    <w:rsid w:val="006C5921"/>
    <w:rsid w:val="006C64AB"/>
    <w:rsid w:val="006C6DE6"/>
    <w:rsid w:val="006D37E2"/>
    <w:rsid w:val="006D530B"/>
    <w:rsid w:val="006D5425"/>
    <w:rsid w:val="006D69C6"/>
    <w:rsid w:val="006D7708"/>
    <w:rsid w:val="006D7845"/>
    <w:rsid w:val="006E13BC"/>
    <w:rsid w:val="006E17EC"/>
    <w:rsid w:val="006E2FBF"/>
    <w:rsid w:val="006E578D"/>
    <w:rsid w:val="006F0E35"/>
    <w:rsid w:val="006F4829"/>
    <w:rsid w:val="007011BF"/>
    <w:rsid w:val="00702E83"/>
    <w:rsid w:val="007060EE"/>
    <w:rsid w:val="00710A8F"/>
    <w:rsid w:val="00710E55"/>
    <w:rsid w:val="0071308A"/>
    <w:rsid w:val="00714914"/>
    <w:rsid w:val="00717DA3"/>
    <w:rsid w:val="00717EDD"/>
    <w:rsid w:val="0072146E"/>
    <w:rsid w:val="00722E05"/>
    <w:rsid w:val="007247D1"/>
    <w:rsid w:val="0072748A"/>
    <w:rsid w:val="007274E1"/>
    <w:rsid w:val="00727DA0"/>
    <w:rsid w:val="007315C1"/>
    <w:rsid w:val="007323DF"/>
    <w:rsid w:val="00732616"/>
    <w:rsid w:val="0073353B"/>
    <w:rsid w:val="00734F29"/>
    <w:rsid w:val="00741647"/>
    <w:rsid w:val="00744CC6"/>
    <w:rsid w:val="00745282"/>
    <w:rsid w:val="007514EE"/>
    <w:rsid w:val="007538F2"/>
    <w:rsid w:val="007601B6"/>
    <w:rsid w:val="0076234C"/>
    <w:rsid w:val="00766156"/>
    <w:rsid w:val="00771346"/>
    <w:rsid w:val="007721FB"/>
    <w:rsid w:val="00772539"/>
    <w:rsid w:val="00773CA4"/>
    <w:rsid w:val="0077600C"/>
    <w:rsid w:val="00777A81"/>
    <w:rsid w:val="007802C5"/>
    <w:rsid w:val="00780E7B"/>
    <w:rsid w:val="007823D2"/>
    <w:rsid w:val="0078261E"/>
    <w:rsid w:val="007863DD"/>
    <w:rsid w:val="0079057A"/>
    <w:rsid w:val="00791148"/>
    <w:rsid w:val="0079264E"/>
    <w:rsid w:val="00796BFE"/>
    <w:rsid w:val="00797F6B"/>
    <w:rsid w:val="007A0655"/>
    <w:rsid w:val="007A4683"/>
    <w:rsid w:val="007A6157"/>
    <w:rsid w:val="007A7713"/>
    <w:rsid w:val="007B024B"/>
    <w:rsid w:val="007B0C6E"/>
    <w:rsid w:val="007B0F2F"/>
    <w:rsid w:val="007B251D"/>
    <w:rsid w:val="007B4554"/>
    <w:rsid w:val="007C1EE1"/>
    <w:rsid w:val="007C26FD"/>
    <w:rsid w:val="007C57AC"/>
    <w:rsid w:val="007C617E"/>
    <w:rsid w:val="007C715D"/>
    <w:rsid w:val="007C79FA"/>
    <w:rsid w:val="007D1A84"/>
    <w:rsid w:val="007D3266"/>
    <w:rsid w:val="007E2DFB"/>
    <w:rsid w:val="007E2EDC"/>
    <w:rsid w:val="007E7B73"/>
    <w:rsid w:val="007F0D5D"/>
    <w:rsid w:val="007F4E85"/>
    <w:rsid w:val="007F744D"/>
    <w:rsid w:val="00800649"/>
    <w:rsid w:val="00802746"/>
    <w:rsid w:val="00806652"/>
    <w:rsid w:val="00807804"/>
    <w:rsid w:val="00810CB5"/>
    <w:rsid w:val="00816939"/>
    <w:rsid w:val="008174EC"/>
    <w:rsid w:val="008219C9"/>
    <w:rsid w:val="00824125"/>
    <w:rsid w:val="00824AC0"/>
    <w:rsid w:val="00826B50"/>
    <w:rsid w:val="008346FA"/>
    <w:rsid w:val="00840DD9"/>
    <w:rsid w:val="008444E4"/>
    <w:rsid w:val="00852A10"/>
    <w:rsid w:val="00854222"/>
    <w:rsid w:val="00855569"/>
    <w:rsid w:val="00857213"/>
    <w:rsid w:val="0086759A"/>
    <w:rsid w:val="008711C6"/>
    <w:rsid w:val="00872697"/>
    <w:rsid w:val="0087354F"/>
    <w:rsid w:val="00877E5B"/>
    <w:rsid w:val="00880E46"/>
    <w:rsid w:val="00881344"/>
    <w:rsid w:val="00882AB1"/>
    <w:rsid w:val="008854DC"/>
    <w:rsid w:val="00890C7D"/>
    <w:rsid w:val="00896243"/>
    <w:rsid w:val="00897393"/>
    <w:rsid w:val="008B22C5"/>
    <w:rsid w:val="008B5171"/>
    <w:rsid w:val="008C1E76"/>
    <w:rsid w:val="008C247E"/>
    <w:rsid w:val="008C2AA6"/>
    <w:rsid w:val="008C3741"/>
    <w:rsid w:val="008C38CB"/>
    <w:rsid w:val="008C5BEF"/>
    <w:rsid w:val="008C74C9"/>
    <w:rsid w:val="008D0B23"/>
    <w:rsid w:val="008D1394"/>
    <w:rsid w:val="008D1607"/>
    <w:rsid w:val="008D519E"/>
    <w:rsid w:val="008E0A67"/>
    <w:rsid w:val="008E192D"/>
    <w:rsid w:val="008E2196"/>
    <w:rsid w:val="008F08B5"/>
    <w:rsid w:val="008F0983"/>
    <w:rsid w:val="008F14E1"/>
    <w:rsid w:val="008F1BBC"/>
    <w:rsid w:val="008F3741"/>
    <w:rsid w:val="008F44D2"/>
    <w:rsid w:val="008F7997"/>
    <w:rsid w:val="009025D4"/>
    <w:rsid w:val="009035B4"/>
    <w:rsid w:val="00904737"/>
    <w:rsid w:val="00906260"/>
    <w:rsid w:val="00911795"/>
    <w:rsid w:val="009139F5"/>
    <w:rsid w:val="00915AF0"/>
    <w:rsid w:val="009208CF"/>
    <w:rsid w:val="0092598F"/>
    <w:rsid w:val="0093411B"/>
    <w:rsid w:val="009370C0"/>
    <w:rsid w:val="0094081D"/>
    <w:rsid w:val="00942385"/>
    <w:rsid w:val="0094667F"/>
    <w:rsid w:val="009528CD"/>
    <w:rsid w:val="00963BA4"/>
    <w:rsid w:val="00976159"/>
    <w:rsid w:val="0097693A"/>
    <w:rsid w:val="009775A7"/>
    <w:rsid w:val="009806AF"/>
    <w:rsid w:val="00983897"/>
    <w:rsid w:val="0098439A"/>
    <w:rsid w:val="0098596A"/>
    <w:rsid w:val="00987034"/>
    <w:rsid w:val="00987430"/>
    <w:rsid w:val="009912AA"/>
    <w:rsid w:val="009918D4"/>
    <w:rsid w:val="00991EB7"/>
    <w:rsid w:val="0099325C"/>
    <w:rsid w:val="00993EBF"/>
    <w:rsid w:val="0099765C"/>
    <w:rsid w:val="00997D2A"/>
    <w:rsid w:val="009A28CA"/>
    <w:rsid w:val="009A5007"/>
    <w:rsid w:val="009A77F6"/>
    <w:rsid w:val="009B017B"/>
    <w:rsid w:val="009B5A53"/>
    <w:rsid w:val="009B6589"/>
    <w:rsid w:val="009B7422"/>
    <w:rsid w:val="009C2E8B"/>
    <w:rsid w:val="009C6D0D"/>
    <w:rsid w:val="009C7E87"/>
    <w:rsid w:val="009D019A"/>
    <w:rsid w:val="009D13D3"/>
    <w:rsid w:val="009D4DF0"/>
    <w:rsid w:val="009D5BB3"/>
    <w:rsid w:val="009E2DCD"/>
    <w:rsid w:val="009E3B55"/>
    <w:rsid w:val="009E48E1"/>
    <w:rsid w:val="009F03F1"/>
    <w:rsid w:val="009F630D"/>
    <w:rsid w:val="009F77F6"/>
    <w:rsid w:val="00A002E2"/>
    <w:rsid w:val="00A05662"/>
    <w:rsid w:val="00A10C04"/>
    <w:rsid w:val="00A114BB"/>
    <w:rsid w:val="00A145E0"/>
    <w:rsid w:val="00A14652"/>
    <w:rsid w:val="00A146FD"/>
    <w:rsid w:val="00A20A12"/>
    <w:rsid w:val="00A20CF9"/>
    <w:rsid w:val="00A22C65"/>
    <w:rsid w:val="00A22F15"/>
    <w:rsid w:val="00A243F0"/>
    <w:rsid w:val="00A2593C"/>
    <w:rsid w:val="00A2641F"/>
    <w:rsid w:val="00A324EC"/>
    <w:rsid w:val="00A369BB"/>
    <w:rsid w:val="00A404D3"/>
    <w:rsid w:val="00A4113C"/>
    <w:rsid w:val="00A439B6"/>
    <w:rsid w:val="00A43FF2"/>
    <w:rsid w:val="00A4546D"/>
    <w:rsid w:val="00A51767"/>
    <w:rsid w:val="00A53E09"/>
    <w:rsid w:val="00A54FD4"/>
    <w:rsid w:val="00A564BA"/>
    <w:rsid w:val="00A57258"/>
    <w:rsid w:val="00A63BF2"/>
    <w:rsid w:val="00A63F24"/>
    <w:rsid w:val="00A66CB1"/>
    <w:rsid w:val="00A7058A"/>
    <w:rsid w:val="00A70E95"/>
    <w:rsid w:val="00A766F3"/>
    <w:rsid w:val="00A82B25"/>
    <w:rsid w:val="00A83F15"/>
    <w:rsid w:val="00A849EB"/>
    <w:rsid w:val="00A851F1"/>
    <w:rsid w:val="00A905F9"/>
    <w:rsid w:val="00A925FC"/>
    <w:rsid w:val="00A93151"/>
    <w:rsid w:val="00A947C1"/>
    <w:rsid w:val="00A955D3"/>
    <w:rsid w:val="00A964FF"/>
    <w:rsid w:val="00AA0E01"/>
    <w:rsid w:val="00AA1258"/>
    <w:rsid w:val="00AA140B"/>
    <w:rsid w:val="00AA2750"/>
    <w:rsid w:val="00AA3118"/>
    <w:rsid w:val="00AA51AA"/>
    <w:rsid w:val="00AA60F3"/>
    <w:rsid w:val="00AB2046"/>
    <w:rsid w:val="00AC130A"/>
    <w:rsid w:val="00AC2F16"/>
    <w:rsid w:val="00AC34B3"/>
    <w:rsid w:val="00AC4552"/>
    <w:rsid w:val="00AC559B"/>
    <w:rsid w:val="00AC784F"/>
    <w:rsid w:val="00AD2A98"/>
    <w:rsid w:val="00AD55A9"/>
    <w:rsid w:val="00AD6675"/>
    <w:rsid w:val="00AE56C2"/>
    <w:rsid w:val="00AE6B42"/>
    <w:rsid w:val="00AE793A"/>
    <w:rsid w:val="00AF15D7"/>
    <w:rsid w:val="00AF34EE"/>
    <w:rsid w:val="00AF4E9C"/>
    <w:rsid w:val="00B0117B"/>
    <w:rsid w:val="00B0152D"/>
    <w:rsid w:val="00B022C8"/>
    <w:rsid w:val="00B03B5E"/>
    <w:rsid w:val="00B03C8C"/>
    <w:rsid w:val="00B04EE8"/>
    <w:rsid w:val="00B13945"/>
    <w:rsid w:val="00B150EE"/>
    <w:rsid w:val="00B15EEA"/>
    <w:rsid w:val="00B24C5A"/>
    <w:rsid w:val="00B25542"/>
    <w:rsid w:val="00B25BD6"/>
    <w:rsid w:val="00B25EEB"/>
    <w:rsid w:val="00B275EF"/>
    <w:rsid w:val="00B310E5"/>
    <w:rsid w:val="00B31C22"/>
    <w:rsid w:val="00B32607"/>
    <w:rsid w:val="00B32C6C"/>
    <w:rsid w:val="00B46B22"/>
    <w:rsid w:val="00B5186B"/>
    <w:rsid w:val="00B543C5"/>
    <w:rsid w:val="00B55162"/>
    <w:rsid w:val="00B5566D"/>
    <w:rsid w:val="00B5688A"/>
    <w:rsid w:val="00B578B7"/>
    <w:rsid w:val="00B61865"/>
    <w:rsid w:val="00B653E4"/>
    <w:rsid w:val="00B658FB"/>
    <w:rsid w:val="00B660E6"/>
    <w:rsid w:val="00B71950"/>
    <w:rsid w:val="00B72FB1"/>
    <w:rsid w:val="00B73985"/>
    <w:rsid w:val="00B76769"/>
    <w:rsid w:val="00B824FC"/>
    <w:rsid w:val="00B83080"/>
    <w:rsid w:val="00B85960"/>
    <w:rsid w:val="00B871A6"/>
    <w:rsid w:val="00B93E38"/>
    <w:rsid w:val="00B967F8"/>
    <w:rsid w:val="00BA17BD"/>
    <w:rsid w:val="00BA2CFC"/>
    <w:rsid w:val="00BB2BB9"/>
    <w:rsid w:val="00BB2F63"/>
    <w:rsid w:val="00BB3ECC"/>
    <w:rsid w:val="00BB5A9B"/>
    <w:rsid w:val="00BB7B69"/>
    <w:rsid w:val="00BC0F0B"/>
    <w:rsid w:val="00BC6652"/>
    <w:rsid w:val="00BD13E9"/>
    <w:rsid w:val="00BD16B2"/>
    <w:rsid w:val="00BD6EE6"/>
    <w:rsid w:val="00BD6F70"/>
    <w:rsid w:val="00BE2604"/>
    <w:rsid w:val="00BF147D"/>
    <w:rsid w:val="00BF2909"/>
    <w:rsid w:val="00BF5F4D"/>
    <w:rsid w:val="00C0052C"/>
    <w:rsid w:val="00C039B4"/>
    <w:rsid w:val="00C03C8E"/>
    <w:rsid w:val="00C06E0F"/>
    <w:rsid w:val="00C07CAE"/>
    <w:rsid w:val="00C103A4"/>
    <w:rsid w:val="00C13266"/>
    <w:rsid w:val="00C13E8F"/>
    <w:rsid w:val="00C16724"/>
    <w:rsid w:val="00C24803"/>
    <w:rsid w:val="00C27400"/>
    <w:rsid w:val="00C3236D"/>
    <w:rsid w:val="00C35A86"/>
    <w:rsid w:val="00C36610"/>
    <w:rsid w:val="00C368D5"/>
    <w:rsid w:val="00C37736"/>
    <w:rsid w:val="00C41F06"/>
    <w:rsid w:val="00C45ED3"/>
    <w:rsid w:val="00C476C3"/>
    <w:rsid w:val="00C52F90"/>
    <w:rsid w:val="00C53871"/>
    <w:rsid w:val="00C5445A"/>
    <w:rsid w:val="00C559EA"/>
    <w:rsid w:val="00C619A4"/>
    <w:rsid w:val="00C62C22"/>
    <w:rsid w:val="00C632B4"/>
    <w:rsid w:val="00C662DF"/>
    <w:rsid w:val="00C66EF7"/>
    <w:rsid w:val="00C6745F"/>
    <w:rsid w:val="00C72935"/>
    <w:rsid w:val="00C73676"/>
    <w:rsid w:val="00C817D5"/>
    <w:rsid w:val="00C82B37"/>
    <w:rsid w:val="00C837A7"/>
    <w:rsid w:val="00C877DA"/>
    <w:rsid w:val="00C92232"/>
    <w:rsid w:val="00C93A16"/>
    <w:rsid w:val="00C93CBC"/>
    <w:rsid w:val="00C94DFB"/>
    <w:rsid w:val="00CA3BF4"/>
    <w:rsid w:val="00CA64B6"/>
    <w:rsid w:val="00CA7C0C"/>
    <w:rsid w:val="00CA7D64"/>
    <w:rsid w:val="00CB4CBE"/>
    <w:rsid w:val="00CB6252"/>
    <w:rsid w:val="00CB7404"/>
    <w:rsid w:val="00CB754D"/>
    <w:rsid w:val="00CC0FA8"/>
    <w:rsid w:val="00CC1D3E"/>
    <w:rsid w:val="00CC2A19"/>
    <w:rsid w:val="00CC4903"/>
    <w:rsid w:val="00CC5D6F"/>
    <w:rsid w:val="00CC77BD"/>
    <w:rsid w:val="00CD2BA8"/>
    <w:rsid w:val="00CD40E0"/>
    <w:rsid w:val="00CE010D"/>
    <w:rsid w:val="00CE41E6"/>
    <w:rsid w:val="00CE47E9"/>
    <w:rsid w:val="00CE577A"/>
    <w:rsid w:val="00CE6436"/>
    <w:rsid w:val="00CF1D81"/>
    <w:rsid w:val="00CF2EEB"/>
    <w:rsid w:val="00CF32F7"/>
    <w:rsid w:val="00CF7686"/>
    <w:rsid w:val="00D0085A"/>
    <w:rsid w:val="00D00883"/>
    <w:rsid w:val="00D011AD"/>
    <w:rsid w:val="00D041D8"/>
    <w:rsid w:val="00D04E70"/>
    <w:rsid w:val="00D0785E"/>
    <w:rsid w:val="00D10840"/>
    <w:rsid w:val="00D1289F"/>
    <w:rsid w:val="00D14AB3"/>
    <w:rsid w:val="00D15959"/>
    <w:rsid w:val="00D209CC"/>
    <w:rsid w:val="00D22A56"/>
    <w:rsid w:val="00D271B1"/>
    <w:rsid w:val="00D27D68"/>
    <w:rsid w:val="00D27EA3"/>
    <w:rsid w:val="00D3069A"/>
    <w:rsid w:val="00D31478"/>
    <w:rsid w:val="00D335CE"/>
    <w:rsid w:val="00D345A6"/>
    <w:rsid w:val="00D35BDB"/>
    <w:rsid w:val="00D416B8"/>
    <w:rsid w:val="00D41A4E"/>
    <w:rsid w:val="00D421B6"/>
    <w:rsid w:val="00D452FB"/>
    <w:rsid w:val="00D52DA7"/>
    <w:rsid w:val="00D5636A"/>
    <w:rsid w:val="00D57199"/>
    <w:rsid w:val="00D5787B"/>
    <w:rsid w:val="00D57F98"/>
    <w:rsid w:val="00D60639"/>
    <w:rsid w:val="00D6086F"/>
    <w:rsid w:val="00D66A98"/>
    <w:rsid w:val="00D71BBE"/>
    <w:rsid w:val="00D73E17"/>
    <w:rsid w:val="00D7478E"/>
    <w:rsid w:val="00D7725B"/>
    <w:rsid w:val="00D77DB3"/>
    <w:rsid w:val="00D815A6"/>
    <w:rsid w:val="00D8194C"/>
    <w:rsid w:val="00D83F56"/>
    <w:rsid w:val="00D84421"/>
    <w:rsid w:val="00D86425"/>
    <w:rsid w:val="00D90B2F"/>
    <w:rsid w:val="00D951F8"/>
    <w:rsid w:val="00D9579C"/>
    <w:rsid w:val="00D963F7"/>
    <w:rsid w:val="00DA2684"/>
    <w:rsid w:val="00DA3A34"/>
    <w:rsid w:val="00DA465A"/>
    <w:rsid w:val="00DA59B1"/>
    <w:rsid w:val="00DB0243"/>
    <w:rsid w:val="00DB1DC8"/>
    <w:rsid w:val="00DB468E"/>
    <w:rsid w:val="00DB5A26"/>
    <w:rsid w:val="00DB5A2D"/>
    <w:rsid w:val="00DC22A1"/>
    <w:rsid w:val="00DC63B3"/>
    <w:rsid w:val="00DC796C"/>
    <w:rsid w:val="00DD06F6"/>
    <w:rsid w:val="00DD30D6"/>
    <w:rsid w:val="00DD3F05"/>
    <w:rsid w:val="00DE10AA"/>
    <w:rsid w:val="00DE1B58"/>
    <w:rsid w:val="00DE2F25"/>
    <w:rsid w:val="00DE320A"/>
    <w:rsid w:val="00DE4A6D"/>
    <w:rsid w:val="00DE64D9"/>
    <w:rsid w:val="00DF034B"/>
    <w:rsid w:val="00DF083A"/>
    <w:rsid w:val="00DF3E1F"/>
    <w:rsid w:val="00DF4313"/>
    <w:rsid w:val="00E04990"/>
    <w:rsid w:val="00E14734"/>
    <w:rsid w:val="00E14E0C"/>
    <w:rsid w:val="00E15F56"/>
    <w:rsid w:val="00E16968"/>
    <w:rsid w:val="00E22142"/>
    <w:rsid w:val="00E23EDB"/>
    <w:rsid w:val="00E264F2"/>
    <w:rsid w:val="00E270BE"/>
    <w:rsid w:val="00E30651"/>
    <w:rsid w:val="00E308F1"/>
    <w:rsid w:val="00E32835"/>
    <w:rsid w:val="00E34CE6"/>
    <w:rsid w:val="00E41BFB"/>
    <w:rsid w:val="00E449B3"/>
    <w:rsid w:val="00E54936"/>
    <w:rsid w:val="00E55EE9"/>
    <w:rsid w:val="00E63969"/>
    <w:rsid w:val="00E6428B"/>
    <w:rsid w:val="00E66A3F"/>
    <w:rsid w:val="00E66BA6"/>
    <w:rsid w:val="00E67A65"/>
    <w:rsid w:val="00E67BF2"/>
    <w:rsid w:val="00E70783"/>
    <w:rsid w:val="00E7644D"/>
    <w:rsid w:val="00E81D88"/>
    <w:rsid w:val="00E82066"/>
    <w:rsid w:val="00E8315C"/>
    <w:rsid w:val="00E83E3F"/>
    <w:rsid w:val="00E87F52"/>
    <w:rsid w:val="00E9211F"/>
    <w:rsid w:val="00E9330A"/>
    <w:rsid w:val="00E95F31"/>
    <w:rsid w:val="00E9716F"/>
    <w:rsid w:val="00EA2DEC"/>
    <w:rsid w:val="00EA38FD"/>
    <w:rsid w:val="00EA3B92"/>
    <w:rsid w:val="00EC603C"/>
    <w:rsid w:val="00EC6575"/>
    <w:rsid w:val="00ED0F1C"/>
    <w:rsid w:val="00ED23E0"/>
    <w:rsid w:val="00ED29F0"/>
    <w:rsid w:val="00ED42A2"/>
    <w:rsid w:val="00ED6434"/>
    <w:rsid w:val="00ED7D50"/>
    <w:rsid w:val="00EE2BD7"/>
    <w:rsid w:val="00EE34F7"/>
    <w:rsid w:val="00EE5524"/>
    <w:rsid w:val="00EE552E"/>
    <w:rsid w:val="00EE7F23"/>
    <w:rsid w:val="00EF2310"/>
    <w:rsid w:val="00EF4292"/>
    <w:rsid w:val="00EF432A"/>
    <w:rsid w:val="00EF56CB"/>
    <w:rsid w:val="00EF5E7F"/>
    <w:rsid w:val="00EF6584"/>
    <w:rsid w:val="00EF678E"/>
    <w:rsid w:val="00EF6EC4"/>
    <w:rsid w:val="00EF79E3"/>
    <w:rsid w:val="00F0032F"/>
    <w:rsid w:val="00F013B2"/>
    <w:rsid w:val="00F01E58"/>
    <w:rsid w:val="00F02565"/>
    <w:rsid w:val="00F06455"/>
    <w:rsid w:val="00F07A0E"/>
    <w:rsid w:val="00F13BDA"/>
    <w:rsid w:val="00F146D3"/>
    <w:rsid w:val="00F17BD3"/>
    <w:rsid w:val="00F21817"/>
    <w:rsid w:val="00F21D88"/>
    <w:rsid w:val="00F230B6"/>
    <w:rsid w:val="00F244FD"/>
    <w:rsid w:val="00F308BB"/>
    <w:rsid w:val="00F31F14"/>
    <w:rsid w:val="00F3504A"/>
    <w:rsid w:val="00F35E9C"/>
    <w:rsid w:val="00F47EBE"/>
    <w:rsid w:val="00F56DB9"/>
    <w:rsid w:val="00F6037F"/>
    <w:rsid w:val="00F63081"/>
    <w:rsid w:val="00F63144"/>
    <w:rsid w:val="00F65FB3"/>
    <w:rsid w:val="00F66697"/>
    <w:rsid w:val="00F71417"/>
    <w:rsid w:val="00F72A7C"/>
    <w:rsid w:val="00F74B4B"/>
    <w:rsid w:val="00F74BE1"/>
    <w:rsid w:val="00F857E9"/>
    <w:rsid w:val="00F875A6"/>
    <w:rsid w:val="00F91F22"/>
    <w:rsid w:val="00F94134"/>
    <w:rsid w:val="00F948B8"/>
    <w:rsid w:val="00FA2E50"/>
    <w:rsid w:val="00FA450E"/>
    <w:rsid w:val="00FA591B"/>
    <w:rsid w:val="00FA7CBC"/>
    <w:rsid w:val="00FB3E47"/>
    <w:rsid w:val="00FB556A"/>
    <w:rsid w:val="00FB5E3E"/>
    <w:rsid w:val="00FB5FE3"/>
    <w:rsid w:val="00FB75DA"/>
    <w:rsid w:val="00FB7CD9"/>
    <w:rsid w:val="00FC0C9A"/>
    <w:rsid w:val="00FC1AC7"/>
    <w:rsid w:val="00FC635B"/>
    <w:rsid w:val="00FD44AE"/>
    <w:rsid w:val="00FE05CF"/>
    <w:rsid w:val="00FE0765"/>
    <w:rsid w:val="00FE1B95"/>
    <w:rsid w:val="00FE1E25"/>
    <w:rsid w:val="00FE3068"/>
    <w:rsid w:val="00FE3186"/>
    <w:rsid w:val="00FE5D62"/>
    <w:rsid w:val="00FF0FAB"/>
    <w:rsid w:val="00FF741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2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1D93"/>
    <w:pPr>
      <w:ind w:left="720"/>
      <w:contextualSpacing/>
    </w:pPr>
  </w:style>
  <w:style w:type="paragraph" w:styleId="NormalWeb">
    <w:name w:val="Normal (Web)"/>
    <w:basedOn w:val="Normal"/>
    <w:uiPriority w:val="99"/>
    <w:rsid w:val="00172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8D0B23"/>
  </w:style>
  <w:style w:type="paragraph" w:customStyle="1" w:styleId="Normal1">
    <w:name w:val="Normal1"/>
    <w:basedOn w:val="Normal"/>
    <w:rsid w:val="008D0B2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CB4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CBE"/>
  </w:style>
  <w:style w:type="paragraph" w:styleId="Footer">
    <w:name w:val="footer"/>
    <w:basedOn w:val="Normal"/>
    <w:link w:val="FooterChar"/>
    <w:uiPriority w:val="99"/>
    <w:unhideWhenUsed/>
    <w:rsid w:val="00CB4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CBE"/>
  </w:style>
  <w:style w:type="paragraph" w:styleId="BodyText2">
    <w:name w:val="Body Text 2"/>
    <w:basedOn w:val="Normal"/>
    <w:link w:val="BodyText2Char"/>
    <w:rsid w:val="00095048"/>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95048"/>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qFormat/>
    <w:rsid w:val="0016272B"/>
    <w:pPr>
      <w:spacing w:before="120" w:after="120" w:line="240" w:lineRule="auto"/>
      <w:jc w:val="both"/>
    </w:pPr>
    <w:rPr>
      <w:rFonts w:ascii=".VnTime" w:eastAsia="Calibri" w:hAnsi=".VnTime"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rsid w:val="0016272B"/>
    <w:rPr>
      <w:rFonts w:ascii=".VnTime" w:eastAsia="Calibri" w:hAnsi=".VnTime" w:cs="Times New Roman"/>
      <w:sz w:val="20"/>
      <w:szCs w:val="20"/>
      <w:lang w:val="en-US"/>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f1"/>
    <w:uiPriority w:val="99"/>
    <w:qFormat/>
    <w:rsid w:val="0016272B"/>
    <w:rPr>
      <w:vertAlign w:val="superscript"/>
    </w:rPr>
  </w:style>
  <w:style w:type="paragraph" w:styleId="BalloonText">
    <w:name w:val="Balloon Text"/>
    <w:basedOn w:val="Normal"/>
    <w:link w:val="BalloonTextChar"/>
    <w:uiPriority w:val="99"/>
    <w:semiHidden/>
    <w:unhideWhenUsed/>
    <w:rsid w:val="00BB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B9"/>
    <w:rPr>
      <w:rFonts w:ascii="Tahoma" w:hAnsi="Tahoma" w:cs="Tahoma"/>
      <w:sz w:val="16"/>
      <w:szCs w:val="16"/>
    </w:rPr>
  </w:style>
  <w:style w:type="paragraph" w:styleId="NoSpacing">
    <w:name w:val="No Spacing"/>
    <w:qFormat/>
    <w:rsid w:val="00D7725B"/>
    <w:pPr>
      <w:spacing w:after="0" w:line="240" w:lineRule="auto"/>
    </w:pPr>
    <w:rPr>
      <w:rFonts w:ascii="Calibri" w:eastAsia="Times New Roman" w:hAnsi="Calibri" w:cs="Times New Roman"/>
    </w:rPr>
  </w:style>
  <w:style w:type="paragraph" w:customStyle="1" w:styleId="Normal4">
    <w:name w:val="Normal4"/>
    <w:basedOn w:val="Normal"/>
    <w:rsid w:val="00D772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ay">
    <w:name w:val="Boday"/>
    <w:basedOn w:val="Normal"/>
    <w:qFormat/>
    <w:rsid w:val="00D7725B"/>
    <w:pPr>
      <w:spacing w:before="120" w:after="0" w:line="340" w:lineRule="exact"/>
      <w:ind w:firstLine="720"/>
      <w:jc w:val="both"/>
    </w:pPr>
    <w:rPr>
      <w:rFonts w:ascii="Times New Roman" w:eastAsia="Times New Roman" w:hAnsi="Times New Roman" w:cs="Times New Roman"/>
      <w:color w:val="000000"/>
      <w:sz w:val="28"/>
      <w:szCs w:val="28"/>
    </w:rPr>
  </w:style>
  <w:style w:type="paragraph" w:customStyle="1" w:styleId="Normal6">
    <w:name w:val="Normal6"/>
    <w:basedOn w:val="Normal"/>
    <w:rsid w:val="00D772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EndnoteText">
    <w:name w:val="endnote text"/>
    <w:basedOn w:val="Normal"/>
    <w:link w:val="EndnoteTextChar"/>
    <w:uiPriority w:val="99"/>
    <w:semiHidden/>
    <w:unhideWhenUsed/>
    <w:rsid w:val="00B27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75EF"/>
    <w:rPr>
      <w:sz w:val="20"/>
      <w:szCs w:val="20"/>
    </w:rPr>
  </w:style>
  <w:style w:type="character" w:styleId="EndnoteReference">
    <w:name w:val="endnote reference"/>
    <w:basedOn w:val="DefaultParagraphFont"/>
    <w:uiPriority w:val="99"/>
    <w:semiHidden/>
    <w:unhideWhenUsed/>
    <w:rsid w:val="00B275EF"/>
    <w:rPr>
      <w:vertAlign w:val="superscript"/>
    </w:rPr>
  </w:style>
  <w:style w:type="character" w:styleId="Emphasis">
    <w:name w:val="Emphasis"/>
    <w:basedOn w:val="DefaultParagraphFont"/>
    <w:uiPriority w:val="20"/>
    <w:qFormat/>
    <w:rsid w:val="00EC6575"/>
    <w:rPr>
      <w:i/>
      <w:iCs/>
    </w:rPr>
  </w:style>
  <w:style w:type="character" w:styleId="Hyperlink">
    <w:name w:val="Hyperlink"/>
    <w:basedOn w:val="DefaultParagraphFont"/>
    <w:uiPriority w:val="99"/>
    <w:semiHidden/>
    <w:unhideWhenUsed/>
    <w:rsid w:val="00EC65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2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1D93"/>
    <w:pPr>
      <w:ind w:left="720"/>
      <w:contextualSpacing/>
    </w:pPr>
  </w:style>
  <w:style w:type="paragraph" w:styleId="NormalWeb">
    <w:name w:val="Normal (Web)"/>
    <w:basedOn w:val="Normal"/>
    <w:uiPriority w:val="99"/>
    <w:rsid w:val="00172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8D0B23"/>
  </w:style>
  <w:style w:type="paragraph" w:customStyle="1" w:styleId="Normal1">
    <w:name w:val="Normal1"/>
    <w:basedOn w:val="Normal"/>
    <w:rsid w:val="008D0B2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CB4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CBE"/>
  </w:style>
  <w:style w:type="paragraph" w:styleId="Footer">
    <w:name w:val="footer"/>
    <w:basedOn w:val="Normal"/>
    <w:link w:val="FooterChar"/>
    <w:uiPriority w:val="99"/>
    <w:unhideWhenUsed/>
    <w:rsid w:val="00CB4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CBE"/>
  </w:style>
  <w:style w:type="paragraph" w:styleId="BodyText2">
    <w:name w:val="Body Text 2"/>
    <w:basedOn w:val="Normal"/>
    <w:link w:val="BodyText2Char"/>
    <w:rsid w:val="00095048"/>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95048"/>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qFormat/>
    <w:rsid w:val="0016272B"/>
    <w:pPr>
      <w:spacing w:before="120" w:after="120" w:line="240" w:lineRule="auto"/>
      <w:jc w:val="both"/>
    </w:pPr>
    <w:rPr>
      <w:rFonts w:ascii=".VnTime" w:eastAsia="Calibri" w:hAnsi=".VnTime"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rsid w:val="0016272B"/>
    <w:rPr>
      <w:rFonts w:ascii=".VnTime" w:eastAsia="Calibri" w:hAnsi=".VnTime" w:cs="Times New Roman"/>
      <w:sz w:val="20"/>
      <w:szCs w:val="20"/>
      <w:lang w:val="en-US"/>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f1"/>
    <w:uiPriority w:val="99"/>
    <w:qFormat/>
    <w:rsid w:val="0016272B"/>
    <w:rPr>
      <w:vertAlign w:val="superscript"/>
    </w:rPr>
  </w:style>
  <w:style w:type="paragraph" w:styleId="BalloonText">
    <w:name w:val="Balloon Text"/>
    <w:basedOn w:val="Normal"/>
    <w:link w:val="BalloonTextChar"/>
    <w:uiPriority w:val="99"/>
    <w:semiHidden/>
    <w:unhideWhenUsed/>
    <w:rsid w:val="00BB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B9"/>
    <w:rPr>
      <w:rFonts w:ascii="Tahoma" w:hAnsi="Tahoma" w:cs="Tahoma"/>
      <w:sz w:val="16"/>
      <w:szCs w:val="16"/>
    </w:rPr>
  </w:style>
  <w:style w:type="paragraph" w:styleId="NoSpacing">
    <w:name w:val="No Spacing"/>
    <w:qFormat/>
    <w:rsid w:val="00D7725B"/>
    <w:pPr>
      <w:spacing w:after="0" w:line="240" w:lineRule="auto"/>
    </w:pPr>
    <w:rPr>
      <w:rFonts w:ascii="Calibri" w:eastAsia="Times New Roman" w:hAnsi="Calibri" w:cs="Times New Roman"/>
    </w:rPr>
  </w:style>
  <w:style w:type="paragraph" w:customStyle="1" w:styleId="Normal4">
    <w:name w:val="Normal4"/>
    <w:basedOn w:val="Normal"/>
    <w:rsid w:val="00D772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ay">
    <w:name w:val="Boday"/>
    <w:basedOn w:val="Normal"/>
    <w:qFormat/>
    <w:rsid w:val="00D7725B"/>
    <w:pPr>
      <w:spacing w:before="120" w:after="0" w:line="340" w:lineRule="exact"/>
      <w:ind w:firstLine="720"/>
      <w:jc w:val="both"/>
    </w:pPr>
    <w:rPr>
      <w:rFonts w:ascii="Times New Roman" w:eastAsia="Times New Roman" w:hAnsi="Times New Roman" w:cs="Times New Roman"/>
      <w:color w:val="000000"/>
      <w:sz w:val="28"/>
      <w:szCs w:val="28"/>
    </w:rPr>
  </w:style>
  <w:style w:type="paragraph" w:customStyle="1" w:styleId="Normal6">
    <w:name w:val="Normal6"/>
    <w:basedOn w:val="Normal"/>
    <w:rsid w:val="00D772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EndnoteText">
    <w:name w:val="endnote text"/>
    <w:basedOn w:val="Normal"/>
    <w:link w:val="EndnoteTextChar"/>
    <w:uiPriority w:val="99"/>
    <w:semiHidden/>
    <w:unhideWhenUsed/>
    <w:rsid w:val="00B27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75EF"/>
    <w:rPr>
      <w:sz w:val="20"/>
      <w:szCs w:val="20"/>
    </w:rPr>
  </w:style>
  <w:style w:type="character" w:styleId="EndnoteReference">
    <w:name w:val="endnote reference"/>
    <w:basedOn w:val="DefaultParagraphFont"/>
    <w:uiPriority w:val="99"/>
    <w:semiHidden/>
    <w:unhideWhenUsed/>
    <w:rsid w:val="00B275EF"/>
    <w:rPr>
      <w:vertAlign w:val="superscript"/>
    </w:rPr>
  </w:style>
  <w:style w:type="character" w:styleId="Emphasis">
    <w:name w:val="Emphasis"/>
    <w:basedOn w:val="DefaultParagraphFont"/>
    <w:uiPriority w:val="20"/>
    <w:qFormat/>
    <w:rsid w:val="00EC6575"/>
    <w:rPr>
      <w:i/>
      <w:iCs/>
    </w:rPr>
  </w:style>
  <w:style w:type="character" w:styleId="Hyperlink">
    <w:name w:val="Hyperlink"/>
    <w:basedOn w:val="DefaultParagraphFont"/>
    <w:uiPriority w:val="99"/>
    <w:semiHidden/>
    <w:unhideWhenUsed/>
    <w:rsid w:val="00EC6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2800">
      <w:bodyDiv w:val="1"/>
      <w:marLeft w:val="0"/>
      <w:marRight w:val="0"/>
      <w:marTop w:val="0"/>
      <w:marBottom w:val="0"/>
      <w:divBdr>
        <w:top w:val="none" w:sz="0" w:space="0" w:color="auto"/>
        <w:left w:val="none" w:sz="0" w:space="0" w:color="auto"/>
        <w:bottom w:val="none" w:sz="0" w:space="0" w:color="auto"/>
        <w:right w:val="none" w:sz="0" w:space="0" w:color="auto"/>
      </w:divBdr>
    </w:div>
    <w:div w:id="83650935">
      <w:bodyDiv w:val="1"/>
      <w:marLeft w:val="0"/>
      <w:marRight w:val="0"/>
      <w:marTop w:val="0"/>
      <w:marBottom w:val="0"/>
      <w:divBdr>
        <w:top w:val="none" w:sz="0" w:space="0" w:color="auto"/>
        <w:left w:val="none" w:sz="0" w:space="0" w:color="auto"/>
        <w:bottom w:val="none" w:sz="0" w:space="0" w:color="auto"/>
        <w:right w:val="none" w:sz="0" w:space="0" w:color="auto"/>
      </w:divBdr>
    </w:div>
    <w:div w:id="122965464">
      <w:bodyDiv w:val="1"/>
      <w:marLeft w:val="0"/>
      <w:marRight w:val="0"/>
      <w:marTop w:val="0"/>
      <w:marBottom w:val="0"/>
      <w:divBdr>
        <w:top w:val="none" w:sz="0" w:space="0" w:color="auto"/>
        <w:left w:val="none" w:sz="0" w:space="0" w:color="auto"/>
        <w:bottom w:val="none" w:sz="0" w:space="0" w:color="auto"/>
        <w:right w:val="none" w:sz="0" w:space="0" w:color="auto"/>
      </w:divBdr>
    </w:div>
    <w:div w:id="127474472">
      <w:bodyDiv w:val="1"/>
      <w:marLeft w:val="0"/>
      <w:marRight w:val="0"/>
      <w:marTop w:val="0"/>
      <w:marBottom w:val="0"/>
      <w:divBdr>
        <w:top w:val="none" w:sz="0" w:space="0" w:color="auto"/>
        <w:left w:val="none" w:sz="0" w:space="0" w:color="auto"/>
        <w:bottom w:val="none" w:sz="0" w:space="0" w:color="auto"/>
        <w:right w:val="none" w:sz="0" w:space="0" w:color="auto"/>
      </w:divBdr>
    </w:div>
    <w:div w:id="129248333">
      <w:bodyDiv w:val="1"/>
      <w:marLeft w:val="0"/>
      <w:marRight w:val="0"/>
      <w:marTop w:val="0"/>
      <w:marBottom w:val="0"/>
      <w:divBdr>
        <w:top w:val="none" w:sz="0" w:space="0" w:color="auto"/>
        <w:left w:val="none" w:sz="0" w:space="0" w:color="auto"/>
        <w:bottom w:val="none" w:sz="0" w:space="0" w:color="auto"/>
        <w:right w:val="none" w:sz="0" w:space="0" w:color="auto"/>
      </w:divBdr>
    </w:div>
    <w:div w:id="156918834">
      <w:bodyDiv w:val="1"/>
      <w:marLeft w:val="0"/>
      <w:marRight w:val="0"/>
      <w:marTop w:val="0"/>
      <w:marBottom w:val="0"/>
      <w:divBdr>
        <w:top w:val="none" w:sz="0" w:space="0" w:color="auto"/>
        <w:left w:val="none" w:sz="0" w:space="0" w:color="auto"/>
        <w:bottom w:val="none" w:sz="0" w:space="0" w:color="auto"/>
        <w:right w:val="none" w:sz="0" w:space="0" w:color="auto"/>
      </w:divBdr>
    </w:div>
    <w:div w:id="160432867">
      <w:bodyDiv w:val="1"/>
      <w:marLeft w:val="0"/>
      <w:marRight w:val="0"/>
      <w:marTop w:val="0"/>
      <w:marBottom w:val="0"/>
      <w:divBdr>
        <w:top w:val="none" w:sz="0" w:space="0" w:color="auto"/>
        <w:left w:val="none" w:sz="0" w:space="0" w:color="auto"/>
        <w:bottom w:val="none" w:sz="0" w:space="0" w:color="auto"/>
        <w:right w:val="none" w:sz="0" w:space="0" w:color="auto"/>
      </w:divBdr>
    </w:div>
    <w:div w:id="288976510">
      <w:bodyDiv w:val="1"/>
      <w:marLeft w:val="0"/>
      <w:marRight w:val="0"/>
      <w:marTop w:val="0"/>
      <w:marBottom w:val="0"/>
      <w:divBdr>
        <w:top w:val="none" w:sz="0" w:space="0" w:color="auto"/>
        <w:left w:val="none" w:sz="0" w:space="0" w:color="auto"/>
        <w:bottom w:val="none" w:sz="0" w:space="0" w:color="auto"/>
        <w:right w:val="none" w:sz="0" w:space="0" w:color="auto"/>
      </w:divBdr>
    </w:div>
    <w:div w:id="311831893">
      <w:bodyDiv w:val="1"/>
      <w:marLeft w:val="0"/>
      <w:marRight w:val="0"/>
      <w:marTop w:val="0"/>
      <w:marBottom w:val="0"/>
      <w:divBdr>
        <w:top w:val="none" w:sz="0" w:space="0" w:color="auto"/>
        <w:left w:val="none" w:sz="0" w:space="0" w:color="auto"/>
        <w:bottom w:val="none" w:sz="0" w:space="0" w:color="auto"/>
        <w:right w:val="none" w:sz="0" w:space="0" w:color="auto"/>
      </w:divBdr>
    </w:div>
    <w:div w:id="371461885">
      <w:bodyDiv w:val="1"/>
      <w:marLeft w:val="0"/>
      <w:marRight w:val="0"/>
      <w:marTop w:val="0"/>
      <w:marBottom w:val="0"/>
      <w:divBdr>
        <w:top w:val="none" w:sz="0" w:space="0" w:color="auto"/>
        <w:left w:val="none" w:sz="0" w:space="0" w:color="auto"/>
        <w:bottom w:val="none" w:sz="0" w:space="0" w:color="auto"/>
        <w:right w:val="none" w:sz="0" w:space="0" w:color="auto"/>
      </w:divBdr>
    </w:div>
    <w:div w:id="412237467">
      <w:bodyDiv w:val="1"/>
      <w:marLeft w:val="0"/>
      <w:marRight w:val="0"/>
      <w:marTop w:val="0"/>
      <w:marBottom w:val="0"/>
      <w:divBdr>
        <w:top w:val="none" w:sz="0" w:space="0" w:color="auto"/>
        <w:left w:val="none" w:sz="0" w:space="0" w:color="auto"/>
        <w:bottom w:val="none" w:sz="0" w:space="0" w:color="auto"/>
        <w:right w:val="none" w:sz="0" w:space="0" w:color="auto"/>
      </w:divBdr>
    </w:div>
    <w:div w:id="526333545">
      <w:bodyDiv w:val="1"/>
      <w:marLeft w:val="0"/>
      <w:marRight w:val="0"/>
      <w:marTop w:val="0"/>
      <w:marBottom w:val="0"/>
      <w:divBdr>
        <w:top w:val="none" w:sz="0" w:space="0" w:color="auto"/>
        <w:left w:val="none" w:sz="0" w:space="0" w:color="auto"/>
        <w:bottom w:val="none" w:sz="0" w:space="0" w:color="auto"/>
        <w:right w:val="none" w:sz="0" w:space="0" w:color="auto"/>
      </w:divBdr>
    </w:div>
    <w:div w:id="575211711">
      <w:bodyDiv w:val="1"/>
      <w:marLeft w:val="0"/>
      <w:marRight w:val="0"/>
      <w:marTop w:val="0"/>
      <w:marBottom w:val="0"/>
      <w:divBdr>
        <w:top w:val="none" w:sz="0" w:space="0" w:color="auto"/>
        <w:left w:val="none" w:sz="0" w:space="0" w:color="auto"/>
        <w:bottom w:val="none" w:sz="0" w:space="0" w:color="auto"/>
        <w:right w:val="none" w:sz="0" w:space="0" w:color="auto"/>
      </w:divBdr>
    </w:div>
    <w:div w:id="644237478">
      <w:bodyDiv w:val="1"/>
      <w:marLeft w:val="0"/>
      <w:marRight w:val="0"/>
      <w:marTop w:val="0"/>
      <w:marBottom w:val="0"/>
      <w:divBdr>
        <w:top w:val="none" w:sz="0" w:space="0" w:color="auto"/>
        <w:left w:val="none" w:sz="0" w:space="0" w:color="auto"/>
        <w:bottom w:val="none" w:sz="0" w:space="0" w:color="auto"/>
        <w:right w:val="none" w:sz="0" w:space="0" w:color="auto"/>
      </w:divBdr>
    </w:div>
    <w:div w:id="652946684">
      <w:bodyDiv w:val="1"/>
      <w:marLeft w:val="0"/>
      <w:marRight w:val="0"/>
      <w:marTop w:val="0"/>
      <w:marBottom w:val="0"/>
      <w:divBdr>
        <w:top w:val="none" w:sz="0" w:space="0" w:color="auto"/>
        <w:left w:val="none" w:sz="0" w:space="0" w:color="auto"/>
        <w:bottom w:val="none" w:sz="0" w:space="0" w:color="auto"/>
        <w:right w:val="none" w:sz="0" w:space="0" w:color="auto"/>
      </w:divBdr>
    </w:div>
    <w:div w:id="655458298">
      <w:bodyDiv w:val="1"/>
      <w:marLeft w:val="0"/>
      <w:marRight w:val="0"/>
      <w:marTop w:val="0"/>
      <w:marBottom w:val="0"/>
      <w:divBdr>
        <w:top w:val="none" w:sz="0" w:space="0" w:color="auto"/>
        <w:left w:val="none" w:sz="0" w:space="0" w:color="auto"/>
        <w:bottom w:val="none" w:sz="0" w:space="0" w:color="auto"/>
        <w:right w:val="none" w:sz="0" w:space="0" w:color="auto"/>
      </w:divBdr>
    </w:div>
    <w:div w:id="722559696">
      <w:bodyDiv w:val="1"/>
      <w:marLeft w:val="0"/>
      <w:marRight w:val="0"/>
      <w:marTop w:val="0"/>
      <w:marBottom w:val="0"/>
      <w:divBdr>
        <w:top w:val="none" w:sz="0" w:space="0" w:color="auto"/>
        <w:left w:val="none" w:sz="0" w:space="0" w:color="auto"/>
        <w:bottom w:val="none" w:sz="0" w:space="0" w:color="auto"/>
        <w:right w:val="none" w:sz="0" w:space="0" w:color="auto"/>
      </w:divBdr>
    </w:div>
    <w:div w:id="737747208">
      <w:bodyDiv w:val="1"/>
      <w:marLeft w:val="0"/>
      <w:marRight w:val="0"/>
      <w:marTop w:val="0"/>
      <w:marBottom w:val="0"/>
      <w:divBdr>
        <w:top w:val="none" w:sz="0" w:space="0" w:color="auto"/>
        <w:left w:val="none" w:sz="0" w:space="0" w:color="auto"/>
        <w:bottom w:val="none" w:sz="0" w:space="0" w:color="auto"/>
        <w:right w:val="none" w:sz="0" w:space="0" w:color="auto"/>
      </w:divBdr>
    </w:div>
    <w:div w:id="788623032">
      <w:bodyDiv w:val="1"/>
      <w:marLeft w:val="0"/>
      <w:marRight w:val="0"/>
      <w:marTop w:val="0"/>
      <w:marBottom w:val="0"/>
      <w:divBdr>
        <w:top w:val="none" w:sz="0" w:space="0" w:color="auto"/>
        <w:left w:val="none" w:sz="0" w:space="0" w:color="auto"/>
        <w:bottom w:val="none" w:sz="0" w:space="0" w:color="auto"/>
        <w:right w:val="none" w:sz="0" w:space="0" w:color="auto"/>
      </w:divBdr>
    </w:div>
    <w:div w:id="806552087">
      <w:bodyDiv w:val="1"/>
      <w:marLeft w:val="0"/>
      <w:marRight w:val="0"/>
      <w:marTop w:val="0"/>
      <w:marBottom w:val="0"/>
      <w:divBdr>
        <w:top w:val="none" w:sz="0" w:space="0" w:color="auto"/>
        <w:left w:val="none" w:sz="0" w:space="0" w:color="auto"/>
        <w:bottom w:val="none" w:sz="0" w:space="0" w:color="auto"/>
        <w:right w:val="none" w:sz="0" w:space="0" w:color="auto"/>
      </w:divBdr>
    </w:div>
    <w:div w:id="827330412">
      <w:bodyDiv w:val="1"/>
      <w:marLeft w:val="0"/>
      <w:marRight w:val="0"/>
      <w:marTop w:val="0"/>
      <w:marBottom w:val="0"/>
      <w:divBdr>
        <w:top w:val="none" w:sz="0" w:space="0" w:color="auto"/>
        <w:left w:val="none" w:sz="0" w:space="0" w:color="auto"/>
        <w:bottom w:val="none" w:sz="0" w:space="0" w:color="auto"/>
        <w:right w:val="none" w:sz="0" w:space="0" w:color="auto"/>
      </w:divBdr>
    </w:div>
    <w:div w:id="863790009">
      <w:bodyDiv w:val="1"/>
      <w:marLeft w:val="0"/>
      <w:marRight w:val="0"/>
      <w:marTop w:val="0"/>
      <w:marBottom w:val="0"/>
      <w:divBdr>
        <w:top w:val="none" w:sz="0" w:space="0" w:color="auto"/>
        <w:left w:val="none" w:sz="0" w:space="0" w:color="auto"/>
        <w:bottom w:val="none" w:sz="0" w:space="0" w:color="auto"/>
        <w:right w:val="none" w:sz="0" w:space="0" w:color="auto"/>
      </w:divBdr>
    </w:div>
    <w:div w:id="996957775">
      <w:bodyDiv w:val="1"/>
      <w:marLeft w:val="0"/>
      <w:marRight w:val="0"/>
      <w:marTop w:val="0"/>
      <w:marBottom w:val="0"/>
      <w:divBdr>
        <w:top w:val="none" w:sz="0" w:space="0" w:color="auto"/>
        <w:left w:val="none" w:sz="0" w:space="0" w:color="auto"/>
        <w:bottom w:val="none" w:sz="0" w:space="0" w:color="auto"/>
        <w:right w:val="none" w:sz="0" w:space="0" w:color="auto"/>
      </w:divBdr>
    </w:div>
    <w:div w:id="1036388246">
      <w:bodyDiv w:val="1"/>
      <w:marLeft w:val="0"/>
      <w:marRight w:val="0"/>
      <w:marTop w:val="0"/>
      <w:marBottom w:val="0"/>
      <w:divBdr>
        <w:top w:val="none" w:sz="0" w:space="0" w:color="auto"/>
        <w:left w:val="none" w:sz="0" w:space="0" w:color="auto"/>
        <w:bottom w:val="none" w:sz="0" w:space="0" w:color="auto"/>
        <w:right w:val="none" w:sz="0" w:space="0" w:color="auto"/>
      </w:divBdr>
    </w:div>
    <w:div w:id="1249584258">
      <w:bodyDiv w:val="1"/>
      <w:marLeft w:val="0"/>
      <w:marRight w:val="0"/>
      <w:marTop w:val="0"/>
      <w:marBottom w:val="0"/>
      <w:divBdr>
        <w:top w:val="none" w:sz="0" w:space="0" w:color="auto"/>
        <w:left w:val="none" w:sz="0" w:space="0" w:color="auto"/>
        <w:bottom w:val="none" w:sz="0" w:space="0" w:color="auto"/>
        <w:right w:val="none" w:sz="0" w:space="0" w:color="auto"/>
      </w:divBdr>
    </w:div>
    <w:div w:id="1281061231">
      <w:bodyDiv w:val="1"/>
      <w:marLeft w:val="0"/>
      <w:marRight w:val="0"/>
      <w:marTop w:val="0"/>
      <w:marBottom w:val="0"/>
      <w:divBdr>
        <w:top w:val="none" w:sz="0" w:space="0" w:color="auto"/>
        <w:left w:val="none" w:sz="0" w:space="0" w:color="auto"/>
        <w:bottom w:val="none" w:sz="0" w:space="0" w:color="auto"/>
        <w:right w:val="none" w:sz="0" w:space="0" w:color="auto"/>
      </w:divBdr>
    </w:div>
    <w:div w:id="1292252107">
      <w:bodyDiv w:val="1"/>
      <w:marLeft w:val="0"/>
      <w:marRight w:val="0"/>
      <w:marTop w:val="0"/>
      <w:marBottom w:val="0"/>
      <w:divBdr>
        <w:top w:val="none" w:sz="0" w:space="0" w:color="auto"/>
        <w:left w:val="none" w:sz="0" w:space="0" w:color="auto"/>
        <w:bottom w:val="none" w:sz="0" w:space="0" w:color="auto"/>
        <w:right w:val="none" w:sz="0" w:space="0" w:color="auto"/>
      </w:divBdr>
    </w:div>
    <w:div w:id="1335107563">
      <w:bodyDiv w:val="1"/>
      <w:marLeft w:val="0"/>
      <w:marRight w:val="0"/>
      <w:marTop w:val="0"/>
      <w:marBottom w:val="0"/>
      <w:divBdr>
        <w:top w:val="none" w:sz="0" w:space="0" w:color="auto"/>
        <w:left w:val="none" w:sz="0" w:space="0" w:color="auto"/>
        <w:bottom w:val="none" w:sz="0" w:space="0" w:color="auto"/>
        <w:right w:val="none" w:sz="0" w:space="0" w:color="auto"/>
      </w:divBdr>
    </w:div>
    <w:div w:id="1423449808">
      <w:bodyDiv w:val="1"/>
      <w:marLeft w:val="0"/>
      <w:marRight w:val="0"/>
      <w:marTop w:val="0"/>
      <w:marBottom w:val="0"/>
      <w:divBdr>
        <w:top w:val="none" w:sz="0" w:space="0" w:color="auto"/>
        <w:left w:val="none" w:sz="0" w:space="0" w:color="auto"/>
        <w:bottom w:val="none" w:sz="0" w:space="0" w:color="auto"/>
        <w:right w:val="none" w:sz="0" w:space="0" w:color="auto"/>
      </w:divBdr>
    </w:div>
    <w:div w:id="1426271148">
      <w:bodyDiv w:val="1"/>
      <w:marLeft w:val="0"/>
      <w:marRight w:val="0"/>
      <w:marTop w:val="0"/>
      <w:marBottom w:val="0"/>
      <w:divBdr>
        <w:top w:val="none" w:sz="0" w:space="0" w:color="auto"/>
        <w:left w:val="none" w:sz="0" w:space="0" w:color="auto"/>
        <w:bottom w:val="none" w:sz="0" w:space="0" w:color="auto"/>
        <w:right w:val="none" w:sz="0" w:space="0" w:color="auto"/>
      </w:divBdr>
    </w:div>
    <w:div w:id="1474984383">
      <w:bodyDiv w:val="1"/>
      <w:marLeft w:val="0"/>
      <w:marRight w:val="0"/>
      <w:marTop w:val="0"/>
      <w:marBottom w:val="0"/>
      <w:divBdr>
        <w:top w:val="none" w:sz="0" w:space="0" w:color="auto"/>
        <w:left w:val="none" w:sz="0" w:space="0" w:color="auto"/>
        <w:bottom w:val="none" w:sz="0" w:space="0" w:color="auto"/>
        <w:right w:val="none" w:sz="0" w:space="0" w:color="auto"/>
      </w:divBdr>
    </w:div>
    <w:div w:id="1654261156">
      <w:bodyDiv w:val="1"/>
      <w:marLeft w:val="0"/>
      <w:marRight w:val="0"/>
      <w:marTop w:val="0"/>
      <w:marBottom w:val="0"/>
      <w:divBdr>
        <w:top w:val="none" w:sz="0" w:space="0" w:color="auto"/>
        <w:left w:val="none" w:sz="0" w:space="0" w:color="auto"/>
        <w:bottom w:val="none" w:sz="0" w:space="0" w:color="auto"/>
        <w:right w:val="none" w:sz="0" w:space="0" w:color="auto"/>
      </w:divBdr>
    </w:div>
    <w:div w:id="1704551880">
      <w:bodyDiv w:val="1"/>
      <w:marLeft w:val="0"/>
      <w:marRight w:val="0"/>
      <w:marTop w:val="0"/>
      <w:marBottom w:val="0"/>
      <w:divBdr>
        <w:top w:val="none" w:sz="0" w:space="0" w:color="auto"/>
        <w:left w:val="none" w:sz="0" w:space="0" w:color="auto"/>
        <w:bottom w:val="none" w:sz="0" w:space="0" w:color="auto"/>
        <w:right w:val="none" w:sz="0" w:space="0" w:color="auto"/>
      </w:divBdr>
    </w:div>
    <w:div w:id="1775133216">
      <w:bodyDiv w:val="1"/>
      <w:marLeft w:val="0"/>
      <w:marRight w:val="0"/>
      <w:marTop w:val="0"/>
      <w:marBottom w:val="0"/>
      <w:divBdr>
        <w:top w:val="none" w:sz="0" w:space="0" w:color="auto"/>
        <w:left w:val="none" w:sz="0" w:space="0" w:color="auto"/>
        <w:bottom w:val="none" w:sz="0" w:space="0" w:color="auto"/>
        <w:right w:val="none" w:sz="0" w:space="0" w:color="auto"/>
      </w:divBdr>
    </w:div>
    <w:div w:id="1783765551">
      <w:bodyDiv w:val="1"/>
      <w:marLeft w:val="0"/>
      <w:marRight w:val="0"/>
      <w:marTop w:val="0"/>
      <w:marBottom w:val="0"/>
      <w:divBdr>
        <w:top w:val="none" w:sz="0" w:space="0" w:color="auto"/>
        <w:left w:val="none" w:sz="0" w:space="0" w:color="auto"/>
        <w:bottom w:val="none" w:sz="0" w:space="0" w:color="auto"/>
        <w:right w:val="none" w:sz="0" w:space="0" w:color="auto"/>
      </w:divBdr>
    </w:div>
    <w:div w:id="1808278478">
      <w:bodyDiv w:val="1"/>
      <w:marLeft w:val="0"/>
      <w:marRight w:val="0"/>
      <w:marTop w:val="0"/>
      <w:marBottom w:val="0"/>
      <w:divBdr>
        <w:top w:val="none" w:sz="0" w:space="0" w:color="auto"/>
        <w:left w:val="none" w:sz="0" w:space="0" w:color="auto"/>
        <w:bottom w:val="none" w:sz="0" w:space="0" w:color="auto"/>
        <w:right w:val="none" w:sz="0" w:space="0" w:color="auto"/>
      </w:divBdr>
    </w:div>
    <w:div w:id="1892032510">
      <w:bodyDiv w:val="1"/>
      <w:marLeft w:val="0"/>
      <w:marRight w:val="0"/>
      <w:marTop w:val="0"/>
      <w:marBottom w:val="0"/>
      <w:divBdr>
        <w:top w:val="none" w:sz="0" w:space="0" w:color="auto"/>
        <w:left w:val="none" w:sz="0" w:space="0" w:color="auto"/>
        <w:bottom w:val="none" w:sz="0" w:space="0" w:color="auto"/>
        <w:right w:val="none" w:sz="0" w:space="0" w:color="auto"/>
      </w:divBdr>
    </w:div>
    <w:div w:id="2004694781">
      <w:bodyDiv w:val="1"/>
      <w:marLeft w:val="0"/>
      <w:marRight w:val="0"/>
      <w:marTop w:val="0"/>
      <w:marBottom w:val="0"/>
      <w:divBdr>
        <w:top w:val="none" w:sz="0" w:space="0" w:color="auto"/>
        <w:left w:val="none" w:sz="0" w:space="0" w:color="auto"/>
        <w:bottom w:val="none" w:sz="0" w:space="0" w:color="auto"/>
        <w:right w:val="none" w:sz="0" w:space="0" w:color="auto"/>
      </w:divBdr>
    </w:div>
    <w:div w:id="2044867633">
      <w:bodyDiv w:val="1"/>
      <w:marLeft w:val="0"/>
      <w:marRight w:val="0"/>
      <w:marTop w:val="0"/>
      <w:marBottom w:val="0"/>
      <w:divBdr>
        <w:top w:val="none" w:sz="0" w:space="0" w:color="auto"/>
        <w:left w:val="none" w:sz="0" w:space="0" w:color="auto"/>
        <w:bottom w:val="none" w:sz="0" w:space="0" w:color="auto"/>
        <w:right w:val="none" w:sz="0" w:space="0" w:color="auto"/>
      </w:divBdr>
    </w:div>
    <w:div w:id="20575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F5A6-49B9-4622-98C8-64758E4C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483VYY1</dc:creator>
  <cp:lastModifiedBy>Hewlett-Packard Company</cp:lastModifiedBy>
  <cp:revision>104</cp:revision>
  <cp:lastPrinted>2017-05-16T12:20:00Z</cp:lastPrinted>
  <dcterms:created xsi:type="dcterms:W3CDTF">2017-05-16T11:29:00Z</dcterms:created>
  <dcterms:modified xsi:type="dcterms:W3CDTF">2017-05-16T12:53:00Z</dcterms:modified>
</cp:coreProperties>
</file>